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BBB5A" w14:textId="2CF340A7" w:rsidR="00BE43D6" w:rsidRPr="00D05402" w:rsidRDefault="00BE43D6" w:rsidP="00BE43D6">
      <w:pPr>
        <w:tabs>
          <w:tab w:val="left" w:pos="1935"/>
        </w:tabs>
        <w:rPr>
          <w:rFonts w:eastAsia="Times New Roman"/>
          <w:bCs/>
          <w:szCs w:val="24"/>
          <w:shd w:val="clear" w:color="auto" w:fill="FFFFFF"/>
        </w:rPr>
      </w:pPr>
    </w:p>
    <w:p w14:paraId="58D8DDCE" w14:textId="19E9ABAD" w:rsidR="00BE43D6" w:rsidRPr="009D26D0" w:rsidRDefault="00BE43D6" w:rsidP="00BE43D6">
      <w:pPr>
        <w:jc w:val="center"/>
        <w:rPr>
          <w:rFonts w:eastAsia="Times New Roman"/>
          <w:bCs/>
          <w:sz w:val="32"/>
          <w:szCs w:val="24"/>
          <w:shd w:val="clear" w:color="auto" w:fill="FFFFFF"/>
        </w:rPr>
      </w:pPr>
      <w:r w:rsidRPr="00BE43D6">
        <w:rPr>
          <w:rFonts w:eastAsia="Times New Roman"/>
          <w:bCs/>
          <w:sz w:val="32"/>
          <w:szCs w:val="24"/>
          <w:shd w:val="clear" w:color="auto" w:fill="FFFFFF"/>
        </w:rPr>
        <w:t xml:space="preserve">A Political Aesthetic of Remembrance: </w:t>
      </w:r>
    </w:p>
    <w:p w14:paraId="14071FD7" w14:textId="73B64B02" w:rsidR="00BE43D6" w:rsidRPr="009D26D0" w:rsidRDefault="00BE43D6" w:rsidP="00BE43D6">
      <w:pPr>
        <w:jc w:val="center"/>
        <w:rPr>
          <w:rFonts w:eastAsia="Times New Roman"/>
          <w:sz w:val="32"/>
          <w:szCs w:val="24"/>
        </w:rPr>
      </w:pPr>
      <w:r w:rsidRPr="00BE43D6">
        <w:rPr>
          <w:rFonts w:eastAsia="Times New Roman"/>
          <w:bCs/>
          <w:sz w:val="32"/>
          <w:szCs w:val="24"/>
          <w:shd w:val="clear" w:color="auto" w:fill="FFFFFF"/>
        </w:rPr>
        <w:t>Colonial Violence in Australia</w:t>
      </w:r>
      <w:r w:rsidRPr="009D26D0">
        <w:rPr>
          <w:rFonts w:eastAsia="Times New Roman"/>
          <w:bCs/>
          <w:sz w:val="32"/>
          <w:szCs w:val="24"/>
          <w:shd w:val="clear" w:color="auto" w:fill="FFFFFF"/>
        </w:rPr>
        <w:t>’</w:t>
      </w:r>
      <w:r w:rsidRPr="00BE43D6">
        <w:rPr>
          <w:rFonts w:eastAsia="Times New Roman"/>
          <w:bCs/>
          <w:sz w:val="32"/>
          <w:szCs w:val="24"/>
          <w:shd w:val="clear" w:color="auto" w:fill="FFFFFF"/>
        </w:rPr>
        <w:t>s Memorial Landscape</w:t>
      </w:r>
    </w:p>
    <w:p w14:paraId="42D94FE7" w14:textId="77777777" w:rsidR="00BE43D6" w:rsidRPr="009D26D0" w:rsidRDefault="00BE43D6" w:rsidP="00BE43D6">
      <w:pPr>
        <w:jc w:val="center"/>
        <w:rPr>
          <w:sz w:val="32"/>
          <w:szCs w:val="24"/>
        </w:rPr>
      </w:pPr>
    </w:p>
    <w:p w14:paraId="3B346350" w14:textId="705D3579" w:rsidR="005A48A9" w:rsidRPr="00D05402" w:rsidRDefault="00BE43D6" w:rsidP="00BE43D6">
      <w:pPr>
        <w:jc w:val="center"/>
        <w:rPr>
          <w:szCs w:val="24"/>
        </w:rPr>
      </w:pPr>
      <w:r w:rsidRPr="00D05402">
        <w:rPr>
          <w:szCs w:val="24"/>
        </w:rPr>
        <w:t>Lucy Britt</w:t>
      </w:r>
    </w:p>
    <w:p w14:paraId="5B742CBE" w14:textId="20052F0B" w:rsidR="00BE43D6" w:rsidRPr="00D05402" w:rsidRDefault="00BE43D6" w:rsidP="00435B43">
      <w:pPr>
        <w:jc w:val="center"/>
        <w:rPr>
          <w:szCs w:val="24"/>
        </w:rPr>
      </w:pPr>
      <w:r w:rsidRPr="00D05402">
        <w:rPr>
          <w:szCs w:val="24"/>
        </w:rPr>
        <w:t>University of North Carolina – Chapel Hill</w:t>
      </w:r>
    </w:p>
    <w:p w14:paraId="01EA777E" w14:textId="75DD9F46" w:rsidR="00435B43" w:rsidRPr="00D05402" w:rsidRDefault="00435B43" w:rsidP="00435B43">
      <w:pPr>
        <w:jc w:val="center"/>
        <w:rPr>
          <w:szCs w:val="24"/>
        </w:rPr>
      </w:pPr>
      <w:r w:rsidRPr="00D05402">
        <w:rPr>
          <w:szCs w:val="24"/>
        </w:rPr>
        <w:t>lcbritt@unc.edu</w:t>
      </w:r>
    </w:p>
    <w:p w14:paraId="19BCC343" w14:textId="77777777" w:rsidR="00435B43" w:rsidRPr="00D05402" w:rsidRDefault="00435B43" w:rsidP="00435B43">
      <w:pPr>
        <w:jc w:val="center"/>
        <w:rPr>
          <w:szCs w:val="24"/>
        </w:rPr>
      </w:pPr>
    </w:p>
    <w:p w14:paraId="26CA7319" w14:textId="50683E4D" w:rsidR="00BE43D6" w:rsidRPr="00D05402" w:rsidRDefault="00BE43D6" w:rsidP="00BE43D6">
      <w:pPr>
        <w:jc w:val="center"/>
        <w:rPr>
          <w:szCs w:val="24"/>
        </w:rPr>
      </w:pPr>
      <w:r w:rsidRPr="00D05402">
        <w:rPr>
          <w:szCs w:val="24"/>
        </w:rPr>
        <w:t>Prepared for the Western Political Science Association’s Annual Meeting</w:t>
      </w:r>
    </w:p>
    <w:p w14:paraId="4A2ADFC5" w14:textId="3916FB8C" w:rsidR="00BE43D6" w:rsidRPr="00D05402" w:rsidRDefault="00BE43D6" w:rsidP="00BE43D6">
      <w:pPr>
        <w:jc w:val="center"/>
        <w:rPr>
          <w:szCs w:val="24"/>
        </w:rPr>
      </w:pPr>
      <w:r w:rsidRPr="00D05402">
        <w:rPr>
          <w:szCs w:val="24"/>
        </w:rPr>
        <w:t>April 20, 2019</w:t>
      </w:r>
    </w:p>
    <w:p w14:paraId="41BD0DD0" w14:textId="799BB09C" w:rsidR="00BE43D6" w:rsidRPr="00D05402" w:rsidRDefault="00BE43D6" w:rsidP="00BE43D6">
      <w:pPr>
        <w:jc w:val="center"/>
        <w:rPr>
          <w:szCs w:val="24"/>
        </w:rPr>
      </w:pPr>
      <w:r w:rsidRPr="00D05402">
        <w:rPr>
          <w:szCs w:val="24"/>
        </w:rPr>
        <w:t>San Francisco, CA</w:t>
      </w:r>
    </w:p>
    <w:p w14:paraId="64D3579E" w14:textId="1AD5277C" w:rsidR="00435B43" w:rsidRPr="00D05402" w:rsidRDefault="00435B43" w:rsidP="00BE43D6">
      <w:pPr>
        <w:jc w:val="center"/>
        <w:rPr>
          <w:szCs w:val="24"/>
        </w:rPr>
      </w:pPr>
    </w:p>
    <w:p w14:paraId="7E5886C7" w14:textId="37FA7FCA" w:rsidR="00435B43" w:rsidRPr="00D05402" w:rsidRDefault="00435B43" w:rsidP="00BE43D6">
      <w:pPr>
        <w:jc w:val="center"/>
        <w:rPr>
          <w:szCs w:val="24"/>
        </w:rPr>
      </w:pPr>
      <w:r w:rsidRPr="00D05402">
        <w:rPr>
          <w:szCs w:val="24"/>
        </w:rPr>
        <w:t>Draft – please do not distribute without permission</w:t>
      </w:r>
    </w:p>
    <w:p w14:paraId="0DD7E89D" w14:textId="645310F3" w:rsidR="00C701F9" w:rsidRDefault="00C701F9" w:rsidP="00C701F9">
      <w:pPr>
        <w:shd w:val="clear" w:color="auto" w:fill="FFFFFF"/>
        <w:spacing w:line="480" w:lineRule="auto"/>
        <w:rPr>
          <w:rFonts w:eastAsia="Times New Roman"/>
          <w:szCs w:val="24"/>
        </w:rPr>
      </w:pPr>
    </w:p>
    <w:p w14:paraId="61BE2E0A" w14:textId="77777777" w:rsidR="00C701F9" w:rsidRDefault="00C701F9" w:rsidP="00C701F9">
      <w:pPr>
        <w:shd w:val="clear" w:color="auto" w:fill="FFFFFF"/>
        <w:spacing w:line="480" w:lineRule="auto"/>
        <w:rPr>
          <w:rFonts w:eastAsia="Times New Roman"/>
          <w:szCs w:val="24"/>
        </w:rPr>
      </w:pPr>
    </w:p>
    <w:p w14:paraId="5534F9EC" w14:textId="5041A802" w:rsidR="00526AA9" w:rsidRPr="00526AA9" w:rsidRDefault="00526AA9" w:rsidP="00526AA9">
      <w:pPr>
        <w:ind w:left="1440" w:right="1440"/>
        <w:jc w:val="both"/>
        <w:rPr>
          <w:sz w:val="20"/>
          <w:szCs w:val="20"/>
        </w:rPr>
      </w:pPr>
      <w:r w:rsidRPr="00526AA9">
        <w:rPr>
          <w:rFonts w:eastAsia="Times New Roman"/>
          <w:color w:val="auto"/>
          <w:sz w:val="20"/>
          <w:szCs w:val="20"/>
        </w:rPr>
        <w:t>More I think than most Australians recognise, the plight of Aboriginal Australians affects us all…</w:t>
      </w:r>
      <w:r w:rsidR="00C701F9" w:rsidRPr="00526AA9">
        <w:rPr>
          <w:sz w:val="20"/>
          <w:szCs w:val="20"/>
        </w:rPr>
        <w:t>We committed the murders. We took the children from their mothers. We practiced discrimination and exclusion. It was our ignorance and our prejudice. And our failure to imagine these things being done to us. With some noble exceptions, we failed</w:t>
      </w:r>
      <w:r w:rsidRPr="00526AA9">
        <w:rPr>
          <w:sz w:val="20"/>
          <w:szCs w:val="20"/>
        </w:rPr>
        <w:t xml:space="preserve"> </w:t>
      </w:r>
      <w:r w:rsidR="00C701F9" w:rsidRPr="00526AA9">
        <w:rPr>
          <w:sz w:val="20"/>
          <w:szCs w:val="20"/>
        </w:rPr>
        <w:t>to make the most basic human response and enter into their hearts and minds. We failed to ask—how would I feel if</w:t>
      </w:r>
      <w:r w:rsidRPr="00526AA9">
        <w:rPr>
          <w:sz w:val="20"/>
          <w:szCs w:val="20"/>
        </w:rPr>
        <w:t xml:space="preserve"> </w:t>
      </w:r>
      <w:r w:rsidR="00C701F9" w:rsidRPr="00526AA9">
        <w:rPr>
          <w:sz w:val="20"/>
          <w:szCs w:val="20"/>
        </w:rPr>
        <w:t>this were done to me?</w:t>
      </w:r>
      <w:r w:rsidRPr="00526AA9">
        <w:rPr>
          <w:sz w:val="20"/>
          <w:szCs w:val="20"/>
        </w:rPr>
        <w:t>... And if we have a sense of justice, as well as common sense, we will forge a new partnership.</w:t>
      </w:r>
    </w:p>
    <w:p w14:paraId="381C85F3" w14:textId="17D5576F" w:rsidR="00C701F9" w:rsidRPr="00526AA9" w:rsidRDefault="00C701F9" w:rsidP="00526AA9">
      <w:pPr>
        <w:ind w:left="1440" w:right="1440"/>
        <w:jc w:val="both"/>
        <w:rPr>
          <w:rFonts w:eastAsia="Times New Roman"/>
          <w:color w:val="auto"/>
          <w:sz w:val="20"/>
          <w:szCs w:val="20"/>
        </w:rPr>
      </w:pPr>
    </w:p>
    <w:p w14:paraId="0C799C9A" w14:textId="5529D6DA" w:rsidR="00C701F9" w:rsidRPr="00C701F9" w:rsidRDefault="00C701F9" w:rsidP="00C701F9">
      <w:pPr>
        <w:autoSpaceDE w:val="0"/>
        <w:autoSpaceDN w:val="0"/>
        <w:adjustRightInd w:val="0"/>
        <w:ind w:left="1440" w:right="1440"/>
        <w:jc w:val="right"/>
        <w:rPr>
          <w:sz w:val="20"/>
          <w:szCs w:val="20"/>
        </w:rPr>
      </w:pPr>
      <w:r>
        <w:rPr>
          <w:sz w:val="20"/>
          <w:szCs w:val="20"/>
        </w:rPr>
        <w:t xml:space="preserve">– </w:t>
      </w:r>
      <w:r w:rsidR="002F214B">
        <w:rPr>
          <w:sz w:val="20"/>
          <w:szCs w:val="20"/>
        </w:rPr>
        <w:t>Prime Minister Paul Keating, Redfern Park Speech, Sydney, 1992</w:t>
      </w:r>
      <w:r>
        <w:rPr>
          <w:sz w:val="20"/>
          <w:szCs w:val="20"/>
        </w:rPr>
        <w:t xml:space="preserve">  </w:t>
      </w:r>
    </w:p>
    <w:p w14:paraId="7C162791" w14:textId="32E84E17" w:rsidR="00C701F9" w:rsidRDefault="00C701F9" w:rsidP="00C701F9">
      <w:pPr>
        <w:autoSpaceDE w:val="0"/>
        <w:autoSpaceDN w:val="0"/>
        <w:adjustRightInd w:val="0"/>
        <w:rPr>
          <w:color w:val="231F20"/>
          <w:sz w:val="19"/>
          <w:szCs w:val="19"/>
        </w:rPr>
      </w:pPr>
    </w:p>
    <w:p w14:paraId="15089AEE" w14:textId="062C5662" w:rsidR="006E5A98" w:rsidRDefault="006E5A98" w:rsidP="00C701F9">
      <w:pPr>
        <w:autoSpaceDE w:val="0"/>
        <w:autoSpaceDN w:val="0"/>
        <w:adjustRightInd w:val="0"/>
        <w:rPr>
          <w:color w:val="231F20"/>
          <w:sz w:val="19"/>
          <w:szCs w:val="19"/>
        </w:rPr>
      </w:pPr>
    </w:p>
    <w:p w14:paraId="6DFAB0BC" w14:textId="77777777" w:rsidR="006E5A98" w:rsidRDefault="006E5A98" w:rsidP="00C701F9">
      <w:pPr>
        <w:autoSpaceDE w:val="0"/>
        <w:autoSpaceDN w:val="0"/>
        <w:adjustRightInd w:val="0"/>
        <w:rPr>
          <w:color w:val="231F20"/>
          <w:sz w:val="19"/>
          <w:szCs w:val="19"/>
        </w:rPr>
      </w:pPr>
    </w:p>
    <w:p w14:paraId="208FCEC3" w14:textId="77777777" w:rsidR="00C701F9" w:rsidRPr="00C701F9" w:rsidRDefault="00C701F9" w:rsidP="00C701F9">
      <w:pPr>
        <w:autoSpaceDE w:val="0"/>
        <w:autoSpaceDN w:val="0"/>
        <w:adjustRightInd w:val="0"/>
        <w:rPr>
          <w:color w:val="231F20"/>
          <w:sz w:val="19"/>
          <w:szCs w:val="19"/>
        </w:rPr>
      </w:pPr>
    </w:p>
    <w:p w14:paraId="57423991" w14:textId="271ED879" w:rsidR="00435B43" w:rsidRPr="00D05402" w:rsidRDefault="00435B43" w:rsidP="00435B43">
      <w:pPr>
        <w:shd w:val="clear" w:color="auto" w:fill="FFFFFF"/>
        <w:spacing w:line="480" w:lineRule="auto"/>
        <w:ind w:firstLine="720"/>
        <w:rPr>
          <w:rFonts w:eastAsia="Times New Roman"/>
          <w:szCs w:val="24"/>
        </w:rPr>
      </w:pPr>
      <w:r w:rsidRPr="00D05402">
        <w:rPr>
          <w:rFonts w:eastAsia="Times New Roman"/>
          <w:szCs w:val="24"/>
        </w:rPr>
        <w:t xml:space="preserve">Citizens of democratic and non-democratic nations alike grapple with how to represent histories of violence in their physical landscapes. Should political societies gloss over or acknowledge past genocide, colonial violence, and slavery? How should the physical environment commemorate victims? Should they aim to be politically instructive? And how visceral should the depictions of violence be – should we show the public sanitized or jarring images? Since at least the Cold War and with renewed fervor in recent years, citizens have acted on the urge to topple memorials and other visual reminders of injustice. But societies show no signs of ceasing to erect new commemorative markers, and citizens continue to live in physical environments saturated with historical reminders, from permanent memorials to subversive </w:t>
      </w:r>
      <w:r w:rsidRPr="00D05402">
        <w:rPr>
          <w:rFonts w:eastAsia="Times New Roman"/>
          <w:szCs w:val="24"/>
        </w:rPr>
        <w:lastRenderedPageBreak/>
        <w:t xml:space="preserve">“counter-monuments” </w:t>
      </w:r>
      <w:r w:rsidRPr="00D05402">
        <w:rPr>
          <w:rFonts w:eastAsia="Times New Roman"/>
          <w:szCs w:val="24"/>
        </w:rPr>
        <w:fldChar w:fldCharType="begin"/>
      </w:r>
      <w:r w:rsidR="000A64BE">
        <w:rPr>
          <w:rFonts w:eastAsia="Times New Roman"/>
          <w:szCs w:val="24"/>
        </w:rPr>
        <w:instrText xml:space="preserve"> ADDIN ZOTERO_ITEM CSL_CITATION {"citationID":"4uWIeNSA","properties":{"formattedCitation":"(J. Young 1994; Strakosch 2010)","plainCitation":"(J. Young 1994; Strakosch 2010)","noteIndex":0},"citationItems":[{"id":959,"uris":["http://zotero.org/users/3096777/items/39BJ7WE3"],"uri":["http://zotero.org/users/3096777/items/39BJ7WE3"],"itemData":{"id":959,"type":"book","title":"The Texture of Memory: Holocaust Memorials and Meaning","publisher":"Yale University Press","publisher-place":"New Haven","event-place":"New Haven","author":[{"family":"Young","given":"James"}],"issued":{"date-parts":[["1994"]]}}},{"id":1009,"uris":["http://zotero.org/users/3096777/items/R57NDHX5"],"uri":["http://zotero.org/users/3096777/items/R57NDHX5"],"itemData":{"id":1009,"type":"article-journal","title":"Counter-Monuments and Nation-Building in Australia","container-title":"Peace Review: A Journal of Social Justice","page":"268-275","volume":"22","author":[{"family":"Strakosch","given":"Elizabeth"}],"issued":{"date-parts":[["2010"]]}}}],"schema":"https://github.com/citation-style-language/schema/raw/master/csl-citation.json"} </w:instrText>
      </w:r>
      <w:r w:rsidRPr="00D05402">
        <w:rPr>
          <w:rFonts w:eastAsia="Times New Roman"/>
          <w:szCs w:val="24"/>
        </w:rPr>
        <w:fldChar w:fldCharType="separate"/>
      </w:r>
      <w:r w:rsidR="000A64BE">
        <w:rPr>
          <w:rFonts w:eastAsia="Times New Roman"/>
          <w:noProof/>
          <w:szCs w:val="24"/>
        </w:rPr>
        <w:t>(J. Young 1994; Strakosch 2010)</w:t>
      </w:r>
      <w:r w:rsidRPr="00D05402">
        <w:rPr>
          <w:rFonts w:eastAsia="Times New Roman"/>
          <w:szCs w:val="24"/>
        </w:rPr>
        <w:fldChar w:fldCharType="end"/>
      </w:r>
      <w:r w:rsidRPr="00D05402">
        <w:rPr>
          <w:rFonts w:eastAsia="Times New Roman"/>
          <w:szCs w:val="24"/>
        </w:rPr>
        <w:t xml:space="preserve">. So the question is not </w:t>
      </w:r>
      <w:r w:rsidRPr="00D05402">
        <w:rPr>
          <w:rFonts w:eastAsia="Times New Roman"/>
          <w:i/>
          <w:szCs w:val="24"/>
        </w:rPr>
        <w:t>whether</w:t>
      </w:r>
      <w:r w:rsidRPr="00D05402">
        <w:rPr>
          <w:rFonts w:eastAsia="Times New Roman"/>
          <w:szCs w:val="24"/>
        </w:rPr>
        <w:t xml:space="preserve"> but </w:t>
      </w:r>
      <w:r w:rsidRPr="00D05402">
        <w:rPr>
          <w:rFonts w:eastAsia="Times New Roman"/>
          <w:i/>
          <w:szCs w:val="24"/>
        </w:rPr>
        <w:t>how</w:t>
      </w:r>
      <w:r w:rsidRPr="00D05402">
        <w:rPr>
          <w:rFonts w:eastAsia="Times New Roman"/>
          <w:szCs w:val="24"/>
        </w:rPr>
        <w:t xml:space="preserve"> monuments and memorials should best reflect societies’ political or ethical priorities. </w:t>
      </w:r>
    </w:p>
    <w:p w14:paraId="22A761DE" w14:textId="77777777" w:rsidR="00435B43" w:rsidRPr="00D05402" w:rsidRDefault="00435B43" w:rsidP="00435B43">
      <w:pPr>
        <w:shd w:val="clear" w:color="auto" w:fill="FFFFFF"/>
        <w:spacing w:line="480" w:lineRule="auto"/>
        <w:ind w:firstLine="720"/>
        <w:rPr>
          <w:rFonts w:eastAsia="Times New Roman"/>
          <w:szCs w:val="24"/>
        </w:rPr>
      </w:pPr>
      <w:r w:rsidRPr="00D05402">
        <w:rPr>
          <w:szCs w:val="24"/>
        </w:rPr>
        <w:t xml:space="preserve">In his discussion of hate speech, Jeremy Waldron briefly considers what it would mean for a society not only to </w:t>
      </w:r>
      <w:r w:rsidRPr="00D05402">
        <w:rPr>
          <w:i/>
          <w:szCs w:val="24"/>
        </w:rPr>
        <w:t>follow</w:t>
      </w:r>
      <w:r w:rsidRPr="00D05402">
        <w:rPr>
          <w:szCs w:val="24"/>
        </w:rPr>
        <w:t xml:space="preserve"> its shared principles of justice but also to shape its physical environment to make the society </w:t>
      </w:r>
      <w:r w:rsidRPr="00D05402">
        <w:rPr>
          <w:i/>
          <w:szCs w:val="24"/>
        </w:rPr>
        <w:t>look like</w:t>
      </w:r>
      <w:r w:rsidRPr="00D05402">
        <w:rPr>
          <w:szCs w:val="24"/>
        </w:rPr>
        <w:t xml:space="preserve"> its principles of justice. Monuments, statues, public buildings, ceremonies, uniforms, signs, and posters are all elements of this “political aesthetic” </w:t>
      </w:r>
      <w:r w:rsidRPr="00D05402">
        <w:rPr>
          <w:szCs w:val="24"/>
        </w:rPr>
        <w:fldChar w:fldCharType="begin"/>
      </w:r>
      <w:r w:rsidRPr="00D05402">
        <w:rPr>
          <w:szCs w:val="24"/>
        </w:rPr>
        <w:instrText xml:space="preserve"> ADDIN ZOTERO_ITEM CSL_CITATION {"citationID":"zsEYBkGb","properties":{"formattedCitation":"(Waldron 2012)","plainCitation":"(Waldron 2012)","noteIndex":0},"citationItems":[{"id":602,"uris":["http://zotero.org/users/3096777/items/IFS6MSRQ"],"uri":["http://zotero.org/users/3096777/items/IFS6MSRQ"],"itemData":{"id":602,"type":"book","title":"The Harm in Hate Speech","publisher":"Harvard University Press","publisher-place":"Cambridge, MA","event-place":"Cambridge, MA","author":[{"family":"Waldron","given":"Jeremy"}],"issued":{"date-parts":[["2012"]]}}}],"schema":"https://github.com/citation-style-language/schema/raw/master/csl-citation.json"} </w:instrText>
      </w:r>
      <w:r w:rsidRPr="00D05402">
        <w:rPr>
          <w:szCs w:val="24"/>
        </w:rPr>
        <w:fldChar w:fldCharType="separate"/>
      </w:r>
      <w:r w:rsidRPr="00D05402">
        <w:rPr>
          <w:noProof/>
          <w:szCs w:val="24"/>
        </w:rPr>
        <w:t>(Waldron 2012)</w:t>
      </w:r>
      <w:r w:rsidRPr="00D05402">
        <w:rPr>
          <w:szCs w:val="24"/>
        </w:rPr>
        <w:fldChar w:fldCharType="end"/>
      </w:r>
      <w:r w:rsidRPr="00D05402">
        <w:rPr>
          <w:szCs w:val="24"/>
        </w:rPr>
        <w:t xml:space="preserve">. A political aesthetic is the way our public and semi-public spaces look (or, especially for people with vision impairment, are perceived by the other senses) and how they reflect various public values or ideas. A political aesthetic is a useful way of thinking about how societies can best reflect their ideals of justice beyond deliberation, institutions, and public opinion. When a society – the people, the state, or both – decides what to do about these physical markers of violence and injustice, it is engaging in commemoration and shaping its political aesthetic: what kinds of expression and speech will we value and promote in a just society? What kinds of symbols and markers? What kinds of public ceremonies, art installations, architectural structures, and landscapes? </w:t>
      </w:r>
    </w:p>
    <w:p w14:paraId="0A625499" w14:textId="77777777" w:rsidR="00435B43" w:rsidRPr="00D05402" w:rsidRDefault="00435B43" w:rsidP="00435B43">
      <w:pPr>
        <w:shd w:val="clear" w:color="auto" w:fill="FFFFFF"/>
        <w:spacing w:line="480" w:lineRule="auto"/>
        <w:ind w:firstLine="720"/>
        <w:rPr>
          <w:szCs w:val="24"/>
        </w:rPr>
      </w:pPr>
      <w:r w:rsidRPr="00D05402">
        <w:rPr>
          <w:szCs w:val="24"/>
        </w:rPr>
        <w:t xml:space="preserve">Because our quotidian aesthetic environment is accessible to interpretation by all, the political aesthetic is an important point of entry for everyday citizens to engage in public debate about political ideas. Despite the widespread recent interest in the political aesthetic among citizens of the United States, South Africa, Europe, and elsewhere – as seen in efforts to take down or protect Confederate monuments, the #RhodesMustFall movement, and community art projects such as the </w:t>
      </w:r>
      <w:r w:rsidRPr="00D05402">
        <w:rPr>
          <w:i/>
          <w:szCs w:val="24"/>
        </w:rPr>
        <w:t>Stolpersteine</w:t>
      </w:r>
      <w:r w:rsidRPr="00D05402">
        <w:rPr>
          <w:szCs w:val="24"/>
        </w:rPr>
        <w:t xml:space="preserve"> in Germany – political theorists have largely overlooked the political implications of the aesthetic commemorative environment.</w:t>
      </w:r>
    </w:p>
    <w:p w14:paraId="795427FA" w14:textId="77777777" w:rsidR="00435B43" w:rsidRPr="00D05402" w:rsidRDefault="00435B43" w:rsidP="00435B43">
      <w:pPr>
        <w:shd w:val="clear" w:color="auto" w:fill="FFFFFF"/>
        <w:spacing w:line="480" w:lineRule="auto"/>
        <w:ind w:firstLine="720"/>
        <w:rPr>
          <w:szCs w:val="24"/>
        </w:rPr>
      </w:pPr>
      <w:r w:rsidRPr="00D05402">
        <w:rPr>
          <w:szCs w:val="24"/>
        </w:rPr>
        <w:lastRenderedPageBreak/>
        <w:t xml:space="preserve">Theorists of material culture, geography, and urban planning have long recognized the importance of the physical landscape for politics </w:t>
      </w:r>
      <w:r w:rsidRPr="00D05402">
        <w:rPr>
          <w:szCs w:val="24"/>
        </w:rPr>
        <w:fldChar w:fldCharType="begin"/>
      </w:r>
      <w:r w:rsidRPr="00D05402">
        <w:rPr>
          <w:szCs w:val="24"/>
        </w:rPr>
        <w:instrText xml:space="preserve"> ADDIN ZOTERO_ITEM CSL_CITATION {"citationID":"3Wf3sDAM","properties":{"formattedCitation":"(ex. Jacobs 1992; Grabow and Heskin 1973; Harvey 2010; Hayden 1994)","plainCitation":"(ex. Jacobs 1992; Grabow and Heskin 1973; Harvey 2010; Hayden 1994)","noteIndex":0},"citationItems":[{"id":435,"uris":["http://zotero.org/users/3096777/items/JPI6YH3U"],"uri":["http://zotero.org/users/3096777/items/JPI6YH3U"],"itemData":{"id":435,"type":"book","title":"The Death and Life of Great American Cities","publisher":"Vintage Books","publisher-place":"New York","event-place":"New York","author":[{"family":"Jacobs","given":"Jane"}],"issued":{"date-parts":[["1992"]]}},"prefix":"ex."},{"id":1051,"uris":["http://zotero.org/users/3096777/items/EQUM3Y5T"],"uri":["http://zotero.org/users/3096777/items/EQUM3Y5T"],"itemData":{"id":1051,"type":"article-journal","title":"Foundations for a Radical Concept of Planning","container-title":"Journal of the American Institute of Planners","page":"106-114","volume":"39","issue":"2","source":"Crossref","DOI":"10.1080/01944367308977664","ISSN":"0002-8991","language":"en","author":[{"family":"Grabow","given":"Stephen"},{"family":"Heskin","given":"Allan"}],"issued":{"date-parts":[["1973",3]]}}},{"id":932,"uris":["http://zotero.org/users/3096777/items/BPQHXKPA"],"uri":["http://zotero.org/users/3096777/items/BPQHXKPA"],"itemData":{"id":932,"type":"book","title":"Social Justice and the City","collection-title":"Geographies of Justice and Social Transformation Series","collection-number":"1","publisher":"University of Georgia Press","publisher-place":"Athens, GA","edition":"Revised Edition","event-place":"Athens, GA","author":[{"family":"Harvey","given":"David"}],"issued":{"date-parts":[["2010"]]}}},{"id":933,"uris":["http://zotero.org/users/3096777/items/4V88VHBI"],"uri":["http://zotero.org/users/3096777/items/4V88VHBI"],"itemData":{"id":933,"type":"article-journal","title":"The Power of Place: Claiming Urban Landscapes as People’s History","container-title":"Journal of Urban History","page":"466-485","volume":"20","issue":"4","author":[{"family":"Hayden","given":"Dolores"}],"issued":{"date-parts":[["1994"]]}}}],"schema":"https://github.com/citation-style-language/schema/raw/master/csl-citation.json"} </w:instrText>
      </w:r>
      <w:r w:rsidRPr="00D05402">
        <w:rPr>
          <w:szCs w:val="24"/>
        </w:rPr>
        <w:fldChar w:fldCharType="separate"/>
      </w:r>
      <w:r w:rsidRPr="00D05402">
        <w:rPr>
          <w:noProof/>
          <w:szCs w:val="24"/>
        </w:rPr>
        <w:t>(ex. Jacobs 1992; Grabow and Heskin 1973; Harvey 2010; Hayden 1994)</w:t>
      </w:r>
      <w:r w:rsidRPr="00D05402">
        <w:rPr>
          <w:szCs w:val="24"/>
        </w:rPr>
        <w:fldChar w:fldCharType="end"/>
      </w:r>
      <w:r w:rsidRPr="00D05402">
        <w:rPr>
          <w:szCs w:val="24"/>
        </w:rPr>
        <w:t>, but political theorists have not focused much attention on the aesthetic or sensory elements of public space.</w:t>
      </w:r>
      <w:r w:rsidRPr="00D05402">
        <w:rPr>
          <w:rStyle w:val="FootnoteReference"/>
          <w:szCs w:val="24"/>
        </w:rPr>
        <w:footnoteReference w:id="1"/>
      </w:r>
      <w:r w:rsidRPr="00D05402">
        <w:rPr>
          <w:szCs w:val="24"/>
        </w:rPr>
        <w:t xml:space="preserve"> Additionally, while the growing study of transitional justice processes such as state apologies and truth commissions has raised important questions about the purpose and implications of how we treat the past </w:t>
      </w:r>
      <w:r w:rsidRPr="00D05402">
        <w:rPr>
          <w:szCs w:val="24"/>
        </w:rPr>
        <w:fldChar w:fldCharType="begin"/>
      </w:r>
      <w:r w:rsidRPr="00D05402">
        <w:rPr>
          <w:szCs w:val="24"/>
        </w:rPr>
        <w:instrText xml:space="preserve"> ADDIN ZOTERO_ITEM CSL_CITATION {"citationID":"rAh1QfaP","properties":{"formattedCitation":"(ex. Buckley-Zistel 2006; Barta 2008; Chakravarti 2014)","plainCitation":"(ex. Buckley-Zistel 2006; Barta 2008; Chakravarti 2014)","noteIndex":0},"citationItems":[{"id":996,"uris":["http://zotero.org/users/3096777/items/KX2RI9EK"],"uri":["http://zotero.org/users/3096777/items/KX2RI9EK"],"itemData":{"id":996,"type":"article-journal","title":"Remembering to Forget: Chosen Amnesia as a Strategy for Local Coexistence in Post-Genocide Rwanda","container-title":"Africa","page":"131-150","volume":"76","issue":"2","author":[{"family":"Buckley-Zistel","given":"Susanne"}],"issued":{"date-parts":[["2006"]]}},"prefix":"ex."},{"id":1063,"uris":["http://zotero.org/users/3096777/items/GQEJZCK9"],"uri":["http://zotero.org/users/3096777/items/GQEJZCK9"],"itemData":{"id":1063,"type":"article-journal","title":"Sorry, and not sorry, in Australia: how the apology to the stolen generations buried a history of genocide","container-title":"Journal of Genocide Research","page":"201-214","volume":"10","issue":"2","author":[{"family":"Barta","given":"Tony"}],"issued":{"date-parts":[["2008"]]}}},{"id":1062,"uris":["http://zotero.org/users/3096777/items/9QHEFM7V"],"uri":["http://zotero.org/users/3096777/items/9QHEFM7V"],"itemData":{"id":1062,"type":"book","title":"Sing the Rage: Listening to Anger After Mass Violence","publisher":"University of Chicago Press","publisher-place":"Chicago","event-place":"Chicago","author":[{"family":"Chakravarti","given":"Sonali"}],"issued":{"date-parts":[["2014"]]}}}],"schema":"https://github.com/citation-style-language/schema/raw/master/csl-citation.json"} </w:instrText>
      </w:r>
      <w:r w:rsidRPr="00D05402">
        <w:rPr>
          <w:szCs w:val="24"/>
        </w:rPr>
        <w:fldChar w:fldCharType="separate"/>
      </w:r>
      <w:r w:rsidRPr="00D05402">
        <w:rPr>
          <w:noProof/>
          <w:szCs w:val="24"/>
        </w:rPr>
        <w:t>(ex. Buckley-Zistel 2006; Barta 2008; Chakravarti 2014)</w:t>
      </w:r>
      <w:r w:rsidRPr="00D05402">
        <w:rPr>
          <w:szCs w:val="24"/>
        </w:rPr>
        <w:fldChar w:fldCharType="end"/>
      </w:r>
      <w:r w:rsidRPr="00D05402">
        <w:rPr>
          <w:szCs w:val="24"/>
        </w:rPr>
        <w:t>, these inquiries have largely neglected place and space. Connections between a political aesthetic and the commemoration of violence are even rarer. By integrating rich interdisciplinary literatures of urban planning, critical and cultural theory, history and public history, museum studies and material culture, and political philosophy and theory, I hope to fill in some of the gaps in the conventional scholarship on the political aesthetic and historical commemoration. These connections are crucial if we are to overcome the various impasses and omissions of our current dominant frameworks.</w:t>
      </w:r>
    </w:p>
    <w:p w14:paraId="2C8E9D14" w14:textId="121142E9" w:rsidR="00435B43" w:rsidRPr="00D05402" w:rsidRDefault="00435B43" w:rsidP="00435B43">
      <w:pPr>
        <w:shd w:val="clear" w:color="auto" w:fill="FFFFFF"/>
        <w:spacing w:line="480" w:lineRule="auto"/>
        <w:ind w:firstLine="720"/>
        <w:rPr>
          <w:rFonts w:eastAsia="Times New Roman"/>
          <w:szCs w:val="24"/>
        </w:rPr>
      </w:pPr>
      <w:r w:rsidRPr="00D05402">
        <w:rPr>
          <w:szCs w:val="24"/>
        </w:rPr>
        <w:t xml:space="preserve">Moreover, many of the frameworks first developed after the Holocaust still dominate scholarly and popular debates about the commemoration of violent events. These conversations, in wake of the imperative to “never again” allow future atrocities after Auschwitz, often </w:t>
      </w:r>
      <w:r w:rsidRPr="00D05402">
        <w:rPr>
          <w:rFonts w:eastAsia="Times New Roman"/>
          <w:szCs w:val="24"/>
        </w:rPr>
        <w:t xml:space="preserve">center on a key dichotomy: harmful forgetting versus painful remembrance. An example is Theodor Adorno’s post-Holocaust rejection of </w:t>
      </w:r>
      <w:r w:rsidRPr="00D05402">
        <w:rPr>
          <w:rFonts w:eastAsia="Times New Roman"/>
          <w:i/>
          <w:szCs w:val="24"/>
        </w:rPr>
        <w:t>aufarbeiten</w:t>
      </w:r>
      <w:r w:rsidRPr="00D05402">
        <w:rPr>
          <w:rFonts w:eastAsia="Times New Roman"/>
          <w:szCs w:val="24"/>
        </w:rPr>
        <w:t xml:space="preserve"> (“working to overcome the past”), or German forgetting, in favor of a painful but necessary reckoning,</w:t>
      </w:r>
      <w:r w:rsidRPr="00D05402">
        <w:rPr>
          <w:rFonts w:eastAsia="Times New Roman"/>
          <w:bCs/>
          <w:i/>
          <w:iCs/>
          <w:szCs w:val="24"/>
          <w:shd w:val="clear" w:color="auto" w:fill="FFFFFF"/>
        </w:rPr>
        <w:t xml:space="preserve"> verarbeiten </w:t>
      </w:r>
      <w:r w:rsidRPr="00D05402">
        <w:rPr>
          <w:rFonts w:eastAsia="Times New Roman"/>
          <w:bCs/>
          <w:iCs/>
          <w:szCs w:val="24"/>
          <w:shd w:val="clear" w:color="auto" w:fill="FFFFFF"/>
        </w:rPr>
        <w:t>(“working upon the past”)</w:t>
      </w:r>
      <w:r w:rsidRPr="00D05402">
        <w:rPr>
          <w:rFonts w:eastAsia="Times New Roman"/>
          <w:szCs w:val="24"/>
        </w:rPr>
        <w:t xml:space="preserve"> </w:t>
      </w:r>
      <w:r w:rsidRPr="00D05402">
        <w:rPr>
          <w:rFonts w:eastAsia="Times New Roman"/>
          <w:szCs w:val="24"/>
        </w:rPr>
        <w:fldChar w:fldCharType="begin"/>
      </w:r>
      <w:r w:rsidRPr="00D05402">
        <w:rPr>
          <w:rFonts w:eastAsia="Times New Roman"/>
          <w:szCs w:val="24"/>
        </w:rPr>
        <w:instrText xml:space="preserve"> ADDIN ZOTERO_ITEM CSL_CITATION {"citationID":"I0QtspCs","properties":{"formattedCitation":"(Adorno 1998)","plainCitation":"(Adorno 1998)","noteIndex":0},"citationItems":[{"id":243,"uris":["http://zotero.org/users/3096777/items/8NGCKDQ2"],"uri":["http://zotero.org/users/3096777/items/8NGCKDQ2"],"itemData":{"id":243,"type":"chapter","title":"The Meaning of Working Through the Past","container-title":"Critical Models: Interventions and Catchwords","collection-title":"European Perspectives: A Series in Social Thought and Cultural Criticism","publisher":"Columbia University Press","publisher-place":"New York","page":"89-103","event-place":"New York","author":[{"family":"Adorno","given":"Theodor"}],"collection-editor":[{"family":"Kritzman","given":"Lawrence D."}],"translator":[{"family":"Pickford","given":"Henry W."}],"issued":{"date-parts":[["1998"]]}}}],"schema":"https://github.com/citation-style-language/schema/raw/master/csl-citation.json"} </w:instrText>
      </w:r>
      <w:r w:rsidRPr="00D05402">
        <w:rPr>
          <w:rFonts w:eastAsia="Times New Roman"/>
          <w:szCs w:val="24"/>
        </w:rPr>
        <w:fldChar w:fldCharType="separate"/>
      </w:r>
      <w:r w:rsidRPr="00D05402">
        <w:rPr>
          <w:rFonts w:eastAsia="Times New Roman"/>
          <w:noProof/>
          <w:szCs w:val="24"/>
        </w:rPr>
        <w:t>(Adorno 1998)</w:t>
      </w:r>
      <w:r w:rsidRPr="00D05402">
        <w:rPr>
          <w:rFonts w:eastAsia="Times New Roman"/>
          <w:szCs w:val="24"/>
        </w:rPr>
        <w:fldChar w:fldCharType="end"/>
      </w:r>
      <w:r w:rsidRPr="00D05402">
        <w:rPr>
          <w:rFonts w:eastAsia="Times New Roman"/>
          <w:szCs w:val="24"/>
        </w:rPr>
        <w:t xml:space="preserve">. Similar fears of sweeping history under the rug or failing to remember the past </w:t>
      </w:r>
      <w:r w:rsidRPr="00D05402">
        <w:rPr>
          <w:rFonts w:eastAsia="Times New Roman"/>
          <w:szCs w:val="24"/>
        </w:rPr>
        <w:lastRenderedPageBreak/>
        <w:t xml:space="preserve">are reappearing in contemporary conversations about Confederate monuments and other politically contentious symbols in democracies such as the United States, South Africa, and Australia. Contemporary U.S. critiques of Confederate statues in public spaces argue that monuments should be removed because they are painful reminders of historical injustice </w:t>
      </w:r>
      <w:r w:rsidRPr="00D05402">
        <w:rPr>
          <w:rFonts w:eastAsia="Times New Roman"/>
          <w:szCs w:val="24"/>
        </w:rPr>
        <w:fldChar w:fldCharType="begin"/>
      </w:r>
      <w:r w:rsidRPr="00D05402">
        <w:rPr>
          <w:rFonts w:eastAsia="Times New Roman"/>
          <w:szCs w:val="24"/>
        </w:rPr>
        <w:instrText xml:space="preserve"> ADDIN ZOTERO_ITEM CSL_CITATION {"citationID":"9rhiLpgZ","properties":{"formattedCitation":"(ex. Delgado and Stefancic 2004; Landrieu 2018)","plainCitation":"(ex. Delgado and Stefancic 2004; Landrieu 2018)","noteIndex":0},"citationItems":[{"id":364,"uris":["http://zotero.org/users/3096777/items/TTLPYUPF"],"uri":["http://zotero.org/users/3096777/items/TTLPYUPF"],"itemData":{"id":364,"type":"book","title":"Understanding Words that Wound","publisher":"Westview Press","publisher-place":"Boulder, CO","event-place":"Boulder, CO","author":[{"family":"Delgado","given":"Richard"},{"family":"Stefancic","given":"Jean"}],"issued":{"date-parts":[["2004"]]}},"prefix":"ex."},{"id":1115,"uris":["http://zotero.org/users/3096777/items/T49KIX9P"],"uri":["http://zotero.org/users/3096777/items/T49KIX9P"],"itemData":{"id":1115,"type":"book","title":"In the Shadow of Statues: A White Southerner Confronts History","publisher":"Viking Press","publisher-place":"New York","event-place":"New York","author":[{"family":"Landrieu","given":"Mitch"}],"issued":{"date-parts":[["2018"]]}}}],"schema":"https://github.com/citation-style-language/schema/raw/master/csl-citation.json"} </w:instrText>
      </w:r>
      <w:r w:rsidRPr="00D05402">
        <w:rPr>
          <w:rFonts w:eastAsia="Times New Roman"/>
          <w:szCs w:val="24"/>
        </w:rPr>
        <w:fldChar w:fldCharType="separate"/>
      </w:r>
      <w:r w:rsidRPr="00D05402">
        <w:rPr>
          <w:rFonts w:eastAsia="Times New Roman"/>
          <w:noProof/>
          <w:szCs w:val="24"/>
        </w:rPr>
        <w:t>(ex. Delgado and Stefancic 2004; Landrieu 2018)</w:t>
      </w:r>
      <w:r w:rsidRPr="00D05402">
        <w:rPr>
          <w:rFonts w:eastAsia="Times New Roman"/>
          <w:szCs w:val="24"/>
        </w:rPr>
        <w:fldChar w:fldCharType="end"/>
      </w:r>
      <w:r w:rsidRPr="00D05402">
        <w:rPr>
          <w:rFonts w:eastAsia="Times New Roman"/>
          <w:szCs w:val="24"/>
        </w:rPr>
        <w:t xml:space="preserve">, while the monuments’ defenders warn of the high cost of historical erasure or forgetting </w:t>
      </w:r>
      <w:r w:rsidRPr="00D05402">
        <w:rPr>
          <w:rFonts w:eastAsia="Times New Roman"/>
          <w:szCs w:val="24"/>
        </w:rPr>
        <w:fldChar w:fldCharType="begin"/>
      </w:r>
      <w:r w:rsidR="002037A1">
        <w:rPr>
          <w:rFonts w:eastAsia="Times New Roman"/>
          <w:szCs w:val="24"/>
        </w:rPr>
        <w:instrText xml:space="preserve"> ADDIN ZOTERO_ITEM CSL_CITATION {"citationID":"35kt4KsG","properties":{"formattedCitation":"(ex. Jones 2015)","plainCitation":"(ex. Jones 2015)","noteIndex":0},"citationItems":[{"id":1100,"uris":["http://zotero.org/users/3096777/items/HDH754WQ"],"uri":["http://zotero.org/users/3096777/items/HDH754WQ"],"itemData":{"id":1100,"type":"webpage","title":"The Confederate Flag Is a Matter of Pride and Heritage, Not Hatred","container-title":"The New York Times","URL":"https://perma.cc/2NC8-LDNA","author":[{"family":"Jones","given":"Ben"}],"issued":{"date-parts":[["2015",12,22]]},"accessed":{"date-parts":[["2018",4,4]]}},"prefix":"ex."}],"schema":"https://github.com/citation-style-language/schema/raw/master/csl-citation.json"} </w:instrText>
      </w:r>
      <w:r w:rsidRPr="00D05402">
        <w:rPr>
          <w:rFonts w:eastAsia="Times New Roman"/>
          <w:szCs w:val="24"/>
        </w:rPr>
        <w:fldChar w:fldCharType="separate"/>
      </w:r>
      <w:r w:rsidRPr="00D05402">
        <w:rPr>
          <w:rFonts w:eastAsia="Times New Roman"/>
          <w:noProof/>
          <w:szCs w:val="24"/>
        </w:rPr>
        <w:t>(ex. Jones 2015)</w:t>
      </w:r>
      <w:r w:rsidRPr="00D05402">
        <w:rPr>
          <w:rFonts w:eastAsia="Times New Roman"/>
          <w:szCs w:val="24"/>
        </w:rPr>
        <w:fldChar w:fldCharType="end"/>
      </w:r>
      <w:r w:rsidRPr="00D05402">
        <w:rPr>
          <w:rFonts w:eastAsia="Times New Roman"/>
          <w:szCs w:val="24"/>
        </w:rPr>
        <w:t xml:space="preserve">. This postwar dichotomy of forgetting and remembrance continues to dominate discussions of historical commemoration of atrocities. </w:t>
      </w:r>
    </w:p>
    <w:p w14:paraId="762CDA75" w14:textId="77777777" w:rsidR="00435B43" w:rsidRPr="00D05402" w:rsidRDefault="00435B43" w:rsidP="00435B43">
      <w:pPr>
        <w:shd w:val="clear" w:color="auto" w:fill="FFFFFF"/>
        <w:spacing w:line="480" w:lineRule="auto"/>
        <w:ind w:firstLine="720"/>
        <w:rPr>
          <w:rFonts w:eastAsia="Times New Roman"/>
          <w:szCs w:val="24"/>
        </w:rPr>
      </w:pPr>
      <w:r w:rsidRPr="00D05402">
        <w:rPr>
          <w:rFonts w:eastAsia="Times New Roman"/>
          <w:szCs w:val="24"/>
        </w:rPr>
        <w:t xml:space="preserve">But it is important to move beyond this impasse. </w:t>
      </w:r>
      <w:r w:rsidRPr="00D05402">
        <w:rPr>
          <w:rFonts w:eastAsia="Times New Roman"/>
          <w:bCs/>
          <w:iCs/>
          <w:szCs w:val="24"/>
          <w:shd w:val="clear" w:color="auto" w:fill="FFFFFF"/>
        </w:rPr>
        <w:t xml:space="preserve">Those who pit remembrance against forgetting or erasure </w:t>
      </w:r>
      <w:r w:rsidRPr="00D05402">
        <w:rPr>
          <w:rFonts w:eastAsia="Times New Roman"/>
          <w:bCs/>
          <w:iCs/>
          <w:szCs w:val="24"/>
          <w:shd w:val="clear" w:color="auto" w:fill="FFFFFF"/>
        </w:rPr>
        <w:fldChar w:fldCharType="begin"/>
      </w:r>
      <w:r w:rsidRPr="00D05402">
        <w:rPr>
          <w:rFonts w:eastAsia="Times New Roman"/>
          <w:bCs/>
          <w:iCs/>
          <w:szCs w:val="24"/>
          <w:shd w:val="clear" w:color="auto" w:fill="FFFFFF"/>
        </w:rPr>
        <w:instrText xml:space="preserve"> ADDIN ZOTERO_ITEM CSL_CITATION {"citationID":"HiWtSTmm","properties":{"formattedCitation":"(ex. Waldron 2012; Rieff 2016)","plainCitation":"(ex. Waldron 2012; Rieff 2016)","noteIndex":0},"citationItems":[{"id":602,"uris":["http://zotero.org/users/3096777/items/IFS6MSRQ"],"uri":["http://zotero.org/users/3096777/items/IFS6MSRQ"],"itemData":{"id":602,"type":"book","title":"The Harm in Hate Speech","publisher":"Harvard University Press","publisher-place":"Cambridge, MA","event-place":"Cambridge, MA","author":[{"family":"Waldron","given":"Jeremy"}],"issued":{"date-parts":[["2012"]]}},"prefix":"ex. "},{"id":889,"uris":["http://zotero.org/users/3096777/items/SVCSDRN7"],"uri":["http://zotero.org/users/3096777/items/SVCSDRN7"],"itemData":{"id":889,"type":"book","title":"In Praise of Forgetting: Historical Memory and Its Ironies","publisher":"Yale University Press","publisher-place":"New Haven, CT","event-place":"New Haven, CT","author":[{"family":"Rieff","given":"David"}],"issued":{"date-parts":[["2016"]]}}}],"schema":"https://github.com/citation-style-language/schema/raw/master/csl-citation.json"} </w:instrText>
      </w:r>
      <w:r w:rsidRPr="00D05402">
        <w:rPr>
          <w:rFonts w:eastAsia="Times New Roman"/>
          <w:bCs/>
          <w:iCs/>
          <w:szCs w:val="24"/>
          <w:shd w:val="clear" w:color="auto" w:fill="FFFFFF"/>
        </w:rPr>
        <w:fldChar w:fldCharType="separate"/>
      </w:r>
      <w:r w:rsidRPr="00D05402">
        <w:rPr>
          <w:rFonts w:eastAsia="Times New Roman"/>
          <w:bCs/>
          <w:iCs/>
          <w:noProof/>
          <w:szCs w:val="24"/>
          <w:shd w:val="clear" w:color="auto" w:fill="FFFFFF"/>
        </w:rPr>
        <w:t>(ex. Waldron 2012; Rieff 2016)</w:t>
      </w:r>
      <w:r w:rsidRPr="00D05402">
        <w:rPr>
          <w:rFonts w:eastAsia="Times New Roman"/>
          <w:bCs/>
          <w:iCs/>
          <w:szCs w:val="24"/>
          <w:shd w:val="clear" w:color="auto" w:fill="FFFFFF"/>
        </w:rPr>
        <w:fldChar w:fldCharType="end"/>
      </w:r>
      <w:r w:rsidRPr="00D05402">
        <w:rPr>
          <w:rFonts w:eastAsia="Times New Roman"/>
          <w:bCs/>
          <w:iCs/>
          <w:szCs w:val="24"/>
          <w:shd w:val="clear" w:color="auto" w:fill="FFFFFF"/>
        </w:rPr>
        <w:t xml:space="preserve"> fail to recognize that remembrance is often really an act of forgetting and forgetting an act of remembering. </w:t>
      </w:r>
      <w:r w:rsidRPr="00D05402">
        <w:rPr>
          <w:rFonts w:eastAsia="Times New Roman"/>
          <w:szCs w:val="24"/>
        </w:rPr>
        <w:t xml:space="preserve">As James Young and others </w:t>
      </w:r>
      <w:r w:rsidRPr="00D05402">
        <w:rPr>
          <w:rFonts w:eastAsia="Times New Roman"/>
          <w:szCs w:val="24"/>
        </w:rPr>
        <w:fldChar w:fldCharType="begin"/>
      </w:r>
      <w:r w:rsidRPr="00D05402">
        <w:rPr>
          <w:rFonts w:eastAsia="Times New Roman"/>
          <w:szCs w:val="24"/>
        </w:rPr>
        <w:instrText xml:space="preserve"> ADDIN ZOTERO_ITEM CSL_CITATION {"citationID":"iDHM503d","properties":{"formattedCitation":"(ex. Anderson 2006)","plainCitation":"(ex. Anderson 2006)","noteIndex":0},"citationItems":[{"id":1153,"uris":["http://zotero.org/users/3096777/items/D8CM8AYC"],"uri":["http://zotero.org/users/3096777/items/D8CM8AYC"],"itemData":{"id":1153,"type":"book","title":"Imagined Communities: Reflections on the Origin and Spread of Nationalism","publisher":"Verso","publisher-place":"London","edition":"Revised Edition","event-place":"London","note":"First published 1983","author":[{"family":"Anderson","given":"Benedict"}],"issued":{"date-parts":[["2006"]]}},"prefix":"ex. "}],"schema":"https://github.com/citation-style-language/schema/raw/master/csl-citation.json"} </w:instrText>
      </w:r>
      <w:r w:rsidRPr="00D05402">
        <w:rPr>
          <w:rFonts w:eastAsia="Times New Roman"/>
          <w:szCs w:val="24"/>
        </w:rPr>
        <w:fldChar w:fldCharType="separate"/>
      </w:r>
      <w:r w:rsidRPr="00D05402">
        <w:rPr>
          <w:rFonts w:eastAsia="Times New Roman"/>
          <w:noProof/>
          <w:szCs w:val="24"/>
        </w:rPr>
        <w:t>(ex. Anderson 2006)</w:t>
      </w:r>
      <w:r w:rsidRPr="00D05402">
        <w:rPr>
          <w:rFonts w:eastAsia="Times New Roman"/>
          <w:szCs w:val="24"/>
        </w:rPr>
        <w:fldChar w:fldCharType="end"/>
      </w:r>
      <w:r w:rsidRPr="00D05402">
        <w:rPr>
          <w:rFonts w:eastAsia="Times New Roman"/>
          <w:szCs w:val="24"/>
        </w:rPr>
        <w:t xml:space="preserve"> have shown, remembrance always encompasses some selective forgetting, contributing to collective amnesia because of the narratives and stories that commemoration ignores, eclipses, or minimizes (Young 1994). </w:t>
      </w:r>
      <w:r w:rsidRPr="00D05402">
        <w:rPr>
          <w:rFonts w:eastAsia="Times New Roman"/>
          <w:bCs/>
          <w:iCs/>
          <w:szCs w:val="24"/>
          <w:shd w:val="clear" w:color="auto" w:fill="FFFFFF"/>
        </w:rPr>
        <w:t>As such, all commemoration, including memorials, involves both remembrance and forgetting. When we fail to recognize the ways in which collective remembrance is also an act of forgetting, uncritically repeating the idea that remembrance and forgetting are binary opposites, we contribute further to the effacement of both terms, eroding their meaning. Moreover, a single-minded focus on “remembrance” at the risk of “forgetting” simplifies history, ignoring the way in which the past is always seen through the biases and frameworks of the present.</w:t>
      </w:r>
    </w:p>
    <w:p w14:paraId="31C5C4AC" w14:textId="31B650B3" w:rsidR="00435B43" w:rsidRDefault="00435B43" w:rsidP="00435B43">
      <w:pPr>
        <w:shd w:val="clear" w:color="auto" w:fill="FFFFFF"/>
        <w:spacing w:line="480" w:lineRule="auto"/>
        <w:ind w:firstLine="720"/>
        <w:rPr>
          <w:szCs w:val="24"/>
        </w:rPr>
      </w:pPr>
      <w:r w:rsidRPr="00D05402">
        <w:rPr>
          <w:rFonts w:eastAsia="Times New Roman"/>
          <w:szCs w:val="24"/>
        </w:rPr>
        <w:t xml:space="preserve">For these reasons, I am less interested in whether commemoration remembers or forgets history and more interested in whether or how an aesthetic of commemoration can employ concepts that might aim at cultivating sensibilities that work against future occurrences of violence. </w:t>
      </w:r>
      <w:r w:rsidRPr="00D05402">
        <w:rPr>
          <w:szCs w:val="24"/>
        </w:rPr>
        <w:t xml:space="preserve">Rejecting the notion that monuments to historical violence could ever be </w:t>
      </w:r>
      <w:r w:rsidRPr="00D05402">
        <w:rPr>
          <w:i/>
          <w:szCs w:val="24"/>
        </w:rPr>
        <w:t>apolitical</w:t>
      </w:r>
      <w:r w:rsidRPr="00D05402">
        <w:rPr>
          <w:szCs w:val="24"/>
        </w:rPr>
        <w:t xml:space="preserve"> or </w:t>
      </w:r>
      <w:r w:rsidRPr="00D05402">
        <w:rPr>
          <w:i/>
          <w:szCs w:val="24"/>
        </w:rPr>
        <w:lastRenderedPageBreak/>
        <w:t>merely</w:t>
      </w:r>
      <w:r w:rsidRPr="00D05402">
        <w:rPr>
          <w:szCs w:val="24"/>
        </w:rPr>
        <w:t xml:space="preserve"> honor victims, I instead make a pragmatic argument that political societies should consider what kinds of messages might be politically productive – specifically, </w:t>
      </w:r>
      <w:r w:rsidRPr="00D05402">
        <w:rPr>
          <w:rFonts w:eastAsia="Times New Roman"/>
          <w:szCs w:val="24"/>
        </w:rPr>
        <w:t xml:space="preserve">what themes or concepts could constitute a political aesthetic of commemoration aimed at preventing a </w:t>
      </w:r>
      <w:r w:rsidRPr="00D05402">
        <w:rPr>
          <w:rFonts w:eastAsia="Times New Roman"/>
          <w:i/>
          <w:szCs w:val="24"/>
        </w:rPr>
        <w:t xml:space="preserve">summum malum </w:t>
      </w:r>
      <w:r w:rsidRPr="00D05402">
        <w:rPr>
          <w:rFonts w:eastAsia="Times New Roman"/>
          <w:szCs w:val="24"/>
        </w:rPr>
        <w:t xml:space="preserve">of future mass violence. </w:t>
      </w:r>
      <w:r w:rsidRPr="00D05402">
        <w:rPr>
          <w:szCs w:val="24"/>
        </w:rPr>
        <w:t>As such, my analysis is descriptive, critical, and prescriptive</w:t>
      </w:r>
      <w:r w:rsidR="006E5A98">
        <w:rPr>
          <w:szCs w:val="24"/>
        </w:rPr>
        <w:t>.</w:t>
      </w:r>
      <w:r w:rsidRPr="00D05402">
        <w:rPr>
          <w:szCs w:val="24"/>
        </w:rPr>
        <w:t xml:space="preserve"> </w:t>
      </w:r>
      <w:r w:rsidR="006E5A98">
        <w:rPr>
          <w:szCs w:val="24"/>
        </w:rPr>
        <w:t>I</w:t>
      </w:r>
      <w:r w:rsidRPr="00D05402">
        <w:rPr>
          <w:szCs w:val="24"/>
        </w:rPr>
        <w:t xml:space="preserve">t describes current aesthetic representations of historical violence and </w:t>
      </w:r>
      <w:r w:rsidR="006E5A98">
        <w:rPr>
          <w:szCs w:val="24"/>
        </w:rPr>
        <w:t xml:space="preserve">one </w:t>
      </w:r>
      <w:r w:rsidRPr="00D05402">
        <w:rPr>
          <w:szCs w:val="24"/>
        </w:rPr>
        <w:t>associated political theme</w:t>
      </w:r>
      <w:r w:rsidR="006E5A98">
        <w:rPr>
          <w:szCs w:val="24"/>
        </w:rPr>
        <w:t xml:space="preserve"> – solidarity – </w:t>
      </w:r>
      <w:r w:rsidRPr="00D05402">
        <w:rPr>
          <w:szCs w:val="24"/>
        </w:rPr>
        <w:t xml:space="preserve">and suggests possible future aesthetic representations of historical violence. </w:t>
      </w:r>
    </w:p>
    <w:p w14:paraId="4B7BB199" w14:textId="1CFC2BCB" w:rsidR="002E555D" w:rsidRPr="002E555D" w:rsidRDefault="00203F3B" w:rsidP="002E555D">
      <w:pPr>
        <w:shd w:val="clear" w:color="auto" w:fill="FFFFFF"/>
        <w:spacing w:line="480" w:lineRule="auto"/>
        <w:ind w:firstLine="720"/>
        <w:rPr>
          <w:szCs w:val="24"/>
        </w:rPr>
      </w:pPr>
      <w:r>
        <w:rPr>
          <w:szCs w:val="24"/>
        </w:rPr>
        <w:t xml:space="preserve">I argue that one way a political aesthetic of commemoration might open up imaginative possibilities for a world without future colonial and political violence is by cultivating solidarity. </w:t>
      </w:r>
      <w:r w:rsidR="002E555D" w:rsidRPr="002E555D">
        <w:rPr>
          <w:szCs w:val="24"/>
        </w:rPr>
        <w:t>My</w:t>
      </w:r>
      <w:r w:rsidR="002E555D" w:rsidRPr="002E555D">
        <w:rPr>
          <w:szCs w:val="24"/>
        </w:rPr>
        <w:t xml:space="preserve"> approach is similar to Judith Shklar’s project of avoiding a </w:t>
      </w:r>
      <w:r w:rsidR="002E555D" w:rsidRPr="002E555D">
        <w:rPr>
          <w:i/>
          <w:szCs w:val="24"/>
        </w:rPr>
        <w:t>summum malum</w:t>
      </w:r>
      <w:r w:rsidR="002E555D" w:rsidRPr="002E555D">
        <w:rPr>
          <w:szCs w:val="24"/>
        </w:rPr>
        <w:t xml:space="preserve"> of cruelty </w:t>
      </w:r>
      <w:r w:rsidR="002E555D" w:rsidRPr="002E555D">
        <w:rPr>
          <w:szCs w:val="24"/>
        </w:rPr>
        <w:fldChar w:fldCharType="begin"/>
      </w:r>
      <w:r w:rsidR="0059457C">
        <w:rPr>
          <w:szCs w:val="24"/>
        </w:rPr>
        <w:instrText xml:space="preserve"> ADDIN ZOTERO_ITEM CSL_CITATION {"citationID":"GqrQR61N","properties":{"formattedCitation":"(Shklar 1989)","plainCitation":"(Shklar 1989)","noteIndex":0},"citationItems":[{"id":545,"uris":["http://zotero.org/users/3096777/items/6W7CR2ML"],"uri":["http://zotero.org/users/3096777/items/6W7CR2ML"],"itemData":{"id":545,"type":"chapter","title":"The Liberalism of Fear","container-title":"Liberalism and the Moral Life","publisher":"Harvard University Press","publisher-place":"Cambridge, MA","page":"21-38","event-place":"Cambridge, MA","author":[{"family":"Shklar","given":"Judith"}],"editor":[{"family":"Rosenblum","given":"Nancy L."}],"issued":{"date-parts":[["1989"]]}}}],"schema":"https://github.com/citation-style-language/schema/raw/master/csl-citation.json"} </w:instrText>
      </w:r>
      <w:r w:rsidR="002E555D" w:rsidRPr="002E555D">
        <w:rPr>
          <w:szCs w:val="24"/>
        </w:rPr>
        <w:fldChar w:fldCharType="separate"/>
      </w:r>
      <w:r w:rsidR="002E555D" w:rsidRPr="002E555D">
        <w:rPr>
          <w:noProof/>
          <w:szCs w:val="24"/>
        </w:rPr>
        <w:t>(Shklar 1989)</w:t>
      </w:r>
      <w:r w:rsidR="002E555D" w:rsidRPr="002E555D">
        <w:rPr>
          <w:szCs w:val="24"/>
        </w:rPr>
        <w:fldChar w:fldCharType="end"/>
      </w:r>
      <w:r w:rsidR="002E555D" w:rsidRPr="002E555D">
        <w:rPr>
          <w:szCs w:val="24"/>
        </w:rPr>
        <w:t>. In this paper I focus on avoiding this worst end of future mass violence for two reasons: first, I think there is a nice symmetry between memorials to past mass violence and avoiding future mass violence; and second, reconciliation, equality, and justice are all important goals, but the avoidance of mass violence is in many ways a lower bar to clear. I want to explore solidarity as a way to avoid future mass violence as one possible first step towards the longer-term, deeper political goals of justice or reconciliation.</w:t>
      </w:r>
    </w:p>
    <w:p w14:paraId="1AB46D6F" w14:textId="184C8A78" w:rsidR="00616B0E" w:rsidRPr="006F6BDD" w:rsidRDefault="00616B0E" w:rsidP="006F6BDD">
      <w:pPr>
        <w:shd w:val="clear" w:color="auto" w:fill="FFFFFF"/>
        <w:spacing w:line="480" w:lineRule="auto"/>
        <w:ind w:firstLine="720"/>
        <w:rPr>
          <w:szCs w:val="24"/>
        </w:rPr>
      </w:pPr>
      <w:r>
        <w:t>W</w:t>
      </w:r>
      <w:r>
        <w:t>hen I refer to “violence,” I mean physical violence. Dustin</w:t>
      </w:r>
      <w:r w:rsidRPr="00736F7E">
        <w:t xml:space="preserve"> Howes</w:t>
      </w:r>
      <w:r>
        <w:t xml:space="preserve">’ definition is useful here: </w:t>
      </w:r>
      <w:r w:rsidRPr="00736F7E">
        <w:t xml:space="preserve">Howes adapts Carl von Clausewitz’s definition of war to suggest </w:t>
      </w:r>
      <w:r>
        <w:t xml:space="preserve">that </w:t>
      </w:r>
      <w:r w:rsidRPr="00736F7E">
        <w:t>violence</w:t>
      </w:r>
      <w:r>
        <w:t xml:space="preserve"> is</w:t>
      </w:r>
      <w:r w:rsidRPr="00736F7E">
        <w:t xml:space="preserve"> “the use of our body by another, who intends to submit or destroy our will fo</w:t>
      </w:r>
      <w:r>
        <w:t>r their purpose or purposes”</w:t>
      </w:r>
      <w:r>
        <w:t xml:space="preserve"> </w:t>
      </w:r>
      <w:r>
        <w:fldChar w:fldCharType="begin"/>
      </w:r>
      <w:r>
        <w:instrText xml:space="preserve"> ADDIN ZOTERO_ITEM CSL_CITATION {"citationID":"gLqd97KQ","properties":{"formattedCitation":"(Howes 2009, 41)","plainCitation":"(Howes 2009, 41)","noteIndex":0},"citationItems":[{"id":989,"uris":["http://zotero.org/users/3096777/items/H33GL5C7"],"uri":["http://zotero.org/users/3096777/items/H33GL5C7"],"itemData":{"id":989,"type":"book","title":"Toward a Credible Pacifism: Violence and the Possibilities of Politics","publisher":"State University of New York Press","publisher-place":"Albany, NY","event-place":"Albany, NY","author":[{"family":"Howes","given":"Dustin Ells"}],"issued":{"date-parts":[["2009"]]}},"locator":"41"}],"schema":"https://github.com/citation-style-language/schema/raw/master/csl-citation.json"} </w:instrText>
      </w:r>
      <w:r>
        <w:fldChar w:fldCharType="separate"/>
      </w:r>
      <w:r>
        <w:rPr>
          <w:noProof/>
        </w:rPr>
        <w:t>(Howes 2009, 41)</w:t>
      </w:r>
      <w:r>
        <w:fldChar w:fldCharType="end"/>
      </w:r>
      <w:r>
        <w:t>.</w:t>
      </w:r>
      <w:r w:rsidRPr="00727E58">
        <w:t xml:space="preserve"> </w:t>
      </w:r>
      <w:r w:rsidRPr="00736F7E">
        <w:t xml:space="preserve">Thus, violence includes only the use of bodies as means to an end if that end is the subjection of the </w:t>
      </w:r>
      <w:r>
        <w:t>body</w:t>
      </w:r>
      <w:r w:rsidRPr="00736F7E">
        <w:t xml:space="preserve"> of another</w:t>
      </w:r>
      <w:r>
        <w:t>. N</w:t>
      </w:r>
      <w:r>
        <w:t>atural disasters are</w:t>
      </w:r>
      <w:r w:rsidRPr="00736F7E">
        <w:t xml:space="preserve"> </w:t>
      </w:r>
      <w:r>
        <w:t xml:space="preserve">not violence since storms cannot intend to do anything; </w:t>
      </w:r>
      <w:r w:rsidRPr="00736F7E">
        <w:t xml:space="preserve">environmental degradation </w:t>
      </w:r>
      <w:r>
        <w:t xml:space="preserve">is </w:t>
      </w:r>
      <w:r w:rsidRPr="00736F7E">
        <w:t xml:space="preserve">only violence if it is meant to force a population off its land or poison a group of people; </w:t>
      </w:r>
      <w:r>
        <w:t xml:space="preserve">necessary </w:t>
      </w:r>
      <w:r w:rsidRPr="00736F7E">
        <w:t xml:space="preserve">medical procedures or pulling someone from a fire are not violence; stealing and destroying property are not violence as long as </w:t>
      </w:r>
      <w:r w:rsidRPr="00736F7E">
        <w:lastRenderedPageBreak/>
        <w:t>they use theft and looting, not the body, as a means; and suicide is not violence, since its purpose is not the changing of the will as long as one’s will is to d</w:t>
      </w:r>
      <w:r>
        <w:t>estroy oneself</w:t>
      </w:r>
      <w:r>
        <w:t xml:space="preserve"> </w:t>
      </w:r>
      <w:r>
        <w:fldChar w:fldCharType="begin"/>
      </w:r>
      <w:r>
        <w:instrText xml:space="preserve"> ADDIN ZOTERO_ITEM CSL_CITATION {"citationID":"u69YweTR","properties":{"formattedCitation":"(Howes 2009, 42\\uc0\\u8211{}45)","plainCitation":"(Howes 2009, 42–45)","noteIndex":0},"citationItems":[{"id":989,"uris":["http://zotero.org/users/3096777/items/H33GL5C7"],"uri":["http://zotero.org/users/3096777/items/H33GL5C7"],"itemData":{"id":989,"type":"book","title":"Toward a Credible Pacifism: Violence and the Possibilities of Politics","publisher":"State University of New York Press","publisher-place":"Albany, NY","event-place":"Albany, NY","author":[{"family":"Howes","given":"Dustin Ells"}],"issued":{"date-parts":[["2009"]]}},"locator":"42-45"}],"schema":"https://github.com/citation-style-language/schema/raw/master/csl-citation.json"} </w:instrText>
      </w:r>
      <w:r>
        <w:fldChar w:fldCharType="separate"/>
      </w:r>
      <w:r w:rsidRPr="00616B0E">
        <w:rPr>
          <w:color w:val="000000"/>
        </w:rPr>
        <w:t>(Howes 2009, 42–45)</w:t>
      </w:r>
      <w:r>
        <w:fldChar w:fldCharType="end"/>
      </w:r>
      <w:r>
        <w:t xml:space="preserve">. </w:t>
      </w:r>
      <w:r w:rsidR="006F6BDD">
        <w:t>N</w:t>
      </w:r>
      <w:r>
        <w:t xml:space="preserve">onviolent sources of injustice like employment discrimination or hate speech </w:t>
      </w:r>
      <w:r w:rsidR="006F6BDD">
        <w:t>are not</w:t>
      </w:r>
      <w:r>
        <w:t xml:space="preserve"> violence. </w:t>
      </w:r>
      <w:r w:rsidR="006F6BDD">
        <w:t>Only physical attacks on bodies are violence</w:t>
      </w:r>
      <w:r>
        <w:t>; although Susan Sontag</w:t>
      </w:r>
      <w:r w:rsidR="006F6BDD">
        <w:t xml:space="preserve"> </w:t>
      </w:r>
      <w:r>
        <w:t>calls the act of</w:t>
      </w:r>
      <w:r w:rsidR="006F6BDD">
        <w:t xml:space="preserve"> </w:t>
      </w:r>
      <w:r>
        <w:t xml:space="preserve">photographing dead bodies “soft murder” </w:t>
      </w:r>
      <w:r w:rsidR="006F6BDD">
        <w:fldChar w:fldCharType="begin"/>
      </w:r>
      <w:r w:rsidR="006F6BDD">
        <w:instrText xml:space="preserve"> ADDIN ZOTERO_ITEM CSL_CITATION {"citationID":"72nfNpNb","properties":{"formattedCitation":"(Sontag 1977, 15)","plainCitation":"(Sontag 1977, 15)","noteIndex":0},"citationItems":[{"id":1180,"uris":["http://zotero.org/users/3096777/items/3MV7XG8M"],"uri":["http://zotero.org/users/3096777/items/3MV7XG8M"],"itemData":{"id":1180,"type":"book","title":"On Photography","publisher":"Anchor Books","publisher-place":"New York","event-place":"New York","author":[{"family":"Sontag","given":"Susan"}],"issued":{"date-parts":[["1977"]]}},"locator":"15"}],"schema":"https://github.com/citation-style-language/schema/raw/master/csl-citation.json"} </w:instrText>
      </w:r>
      <w:r w:rsidR="006F6BDD">
        <w:fldChar w:fldCharType="separate"/>
      </w:r>
      <w:r w:rsidR="006F6BDD">
        <w:rPr>
          <w:noProof/>
        </w:rPr>
        <w:t>(Sontag 1977, 15)</w:t>
      </w:r>
      <w:r w:rsidR="006F6BDD">
        <w:fldChar w:fldCharType="end"/>
      </w:r>
      <w:r w:rsidR="006F6BDD">
        <w:t xml:space="preserve"> </w:t>
      </w:r>
      <w:r>
        <w:t xml:space="preserve">and scholars often speak of “doing violence to a text,” I do not consider these acts to be violence (although they may be </w:t>
      </w:r>
      <w:r w:rsidR="006F6BDD">
        <w:t>unjust</w:t>
      </w:r>
      <w:r>
        <w:t>)</w:t>
      </w:r>
      <w:r w:rsidR="006F6BDD">
        <w:t>.</w:t>
      </w:r>
      <w:r w:rsidR="006F6BDD">
        <w:rPr>
          <w:szCs w:val="24"/>
        </w:rPr>
        <w:t xml:space="preserve"> </w:t>
      </w:r>
    </w:p>
    <w:p w14:paraId="3F553FA1" w14:textId="7CDB2F4E" w:rsidR="00052337" w:rsidRPr="00D05402" w:rsidRDefault="00052337" w:rsidP="00052337">
      <w:pPr>
        <w:spacing w:line="480" w:lineRule="auto"/>
        <w:ind w:firstLine="720"/>
        <w:rPr>
          <w:szCs w:val="24"/>
        </w:rPr>
      </w:pPr>
      <w:r w:rsidRPr="00D05402">
        <w:rPr>
          <w:szCs w:val="24"/>
        </w:rPr>
        <w:t>Although I am wary of outsider prescriptions for the politics of former colonies in the Global South</w:t>
      </w:r>
      <w:r w:rsidR="007946EE">
        <w:rPr>
          <w:szCs w:val="24"/>
        </w:rPr>
        <w:t xml:space="preserve"> </w:t>
      </w:r>
      <w:r w:rsidR="007946EE">
        <w:rPr>
          <w:szCs w:val="24"/>
        </w:rPr>
        <w:fldChar w:fldCharType="begin"/>
      </w:r>
      <w:r w:rsidR="007946EE">
        <w:rPr>
          <w:szCs w:val="24"/>
        </w:rPr>
        <w:instrText xml:space="preserve"> ADDIN ZOTERO_ITEM CSL_CITATION {"citationID":"vAG2Zmc4","properties":{"formattedCitation":"(e.g. Narayan 2005)","plainCitation":"(e.g. Narayan 2005)","noteIndex":0},"citationItems":[{"id":1272,"uris":["http://zotero.org/users/3096777/items/GNCZ37H7"],"uri":["http://zotero.org/users/3096777/items/GNCZ37H7"],"itemData":{"id":1272,"type":"chapter","title":"Cross-Cultural Connections, Border-Crossings, and ‘Death by Culture’: Thinking About Dowry-Murders in India and Domestic-Violence Murders in the United States","container-title":"Theorizing Feminisms","publisher":"Oxford University Press","publisher-place":"Oxford","page":"62-77","event-place":"Oxford","note":"Excerpt originally published 1997","author":[{"family":"Narayan","given":"Uma"}],"editor":[{"family":"Hackett","given":"Elizabeth"},{"family":"Haslanger","given":"Sally"}],"issued":{"date-parts":[["2005"]]}},"prefix":"e.g."}],"schema":"https://github.com/citation-style-language/schema/raw/master/csl-citation.json"} </w:instrText>
      </w:r>
      <w:r w:rsidR="007946EE">
        <w:rPr>
          <w:szCs w:val="24"/>
        </w:rPr>
        <w:fldChar w:fldCharType="separate"/>
      </w:r>
      <w:r w:rsidR="007946EE">
        <w:rPr>
          <w:noProof/>
          <w:szCs w:val="24"/>
        </w:rPr>
        <w:t>(e.g. Narayan 2005)</w:t>
      </w:r>
      <w:r w:rsidR="007946EE">
        <w:rPr>
          <w:szCs w:val="24"/>
        </w:rPr>
        <w:fldChar w:fldCharType="end"/>
      </w:r>
      <w:r w:rsidRPr="00D05402">
        <w:rPr>
          <w:szCs w:val="24"/>
        </w:rPr>
        <w:t xml:space="preserve">, I follow Linda Zerilli’s articulation of the possibility and even need for judgment by others: while lived experience may provide privileged knowledge, we should also leave room for decrying injustices even from an outsider standpoint without immediately dismissing such critical judgment as imperialism </w:t>
      </w:r>
      <w:r w:rsidRPr="00D05402">
        <w:rPr>
          <w:szCs w:val="24"/>
        </w:rPr>
        <w:fldChar w:fldCharType="begin"/>
      </w:r>
      <w:r w:rsidRPr="00D05402">
        <w:rPr>
          <w:szCs w:val="24"/>
        </w:rPr>
        <w:instrText xml:space="preserve"> ADDIN ZOTERO_ITEM CSL_CITATION {"citationID":"TapJD51l","properties":{"formattedCitation":"(Zerilli 2009)","plainCitation":"(Zerilli 2009)","noteIndex":0},"citationItems":[{"id":1152,"uris":["http://zotero.org/users/3096777/items/ERJBKPTP"],"uri":["http://zotero.org/users/3096777/items/ERJBKPTP"],"itemData":{"id":1152,"type":"article-journal","title":"Toward a Feminist Theory of Judgment","container-title":"Signs","page":"295-317","volume":"34","issue":"2","source":"JSTOR","DOI":"10.1086/591090","ISSN":"0097-9740","author":[{"family":"Zerilli","given":"Linda M. G."}],"issued":{"date-parts":[["2009"]]}}}],"schema":"https://github.com/citation-style-language/schema/raw/master/csl-citation.json"} </w:instrText>
      </w:r>
      <w:r w:rsidRPr="00D05402">
        <w:rPr>
          <w:szCs w:val="24"/>
        </w:rPr>
        <w:fldChar w:fldCharType="separate"/>
      </w:r>
      <w:r w:rsidRPr="00D05402">
        <w:rPr>
          <w:noProof/>
          <w:szCs w:val="24"/>
        </w:rPr>
        <w:t>(Zerilli 2009)</w:t>
      </w:r>
      <w:r w:rsidRPr="00D05402">
        <w:rPr>
          <w:szCs w:val="24"/>
        </w:rPr>
        <w:fldChar w:fldCharType="end"/>
      </w:r>
      <w:r w:rsidRPr="00D05402">
        <w:rPr>
          <w:szCs w:val="24"/>
        </w:rPr>
        <w:t xml:space="preserve">. We might also think about the ways in which claims about “the Indigenous way” and “authentic experience” have been invoked by regimes to ward off authoritarian critiques from outsiders and consolidate power. What about cultural differences between </w:t>
      </w:r>
      <w:r w:rsidR="00B17C9D" w:rsidRPr="00D05402">
        <w:rPr>
          <w:szCs w:val="24"/>
        </w:rPr>
        <w:t>Indigenous Australians</w:t>
      </w:r>
      <w:r w:rsidRPr="00D05402">
        <w:rPr>
          <w:szCs w:val="24"/>
        </w:rPr>
        <w:t xml:space="preserve"> and </w:t>
      </w:r>
      <w:r w:rsidR="00B17C9D" w:rsidRPr="00D05402">
        <w:rPr>
          <w:szCs w:val="24"/>
        </w:rPr>
        <w:t>non-Indigenous</w:t>
      </w:r>
      <w:r w:rsidRPr="00D05402">
        <w:rPr>
          <w:szCs w:val="24"/>
        </w:rPr>
        <w:t xml:space="preserve"> visitors? Again, I proceed with caution; I want to avoid essentializing </w:t>
      </w:r>
      <w:r w:rsidR="00B17C9D" w:rsidRPr="00D05402">
        <w:rPr>
          <w:szCs w:val="24"/>
        </w:rPr>
        <w:t>Indigenous</w:t>
      </w:r>
      <w:r w:rsidRPr="00D05402">
        <w:rPr>
          <w:szCs w:val="24"/>
        </w:rPr>
        <w:t xml:space="preserve"> “traditional” beliefs about human remains and memory</w:t>
      </w:r>
      <w:r w:rsidR="00B17C9D" w:rsidRPr="00D05402">
        <w:rPr>
          <w:szCs w:val="24"/>
        </w:rPr>
        <w:t>, and I want to steer clear of what is likely</w:t>
      </w:r>
      <w:r w:rsidRPr="00D05402">
        <w:rPr>
          <w:szCs w:val="24"/>
        </w:rPr>
        <w:t xml:space="preserve"> a false dichotomy between Western and </w:t>
      </w:r>
      <w:r w:rsidR="00B17C9D" w:rsidRPr="00D05402">
        <w:rPr>
          <w:szCs w:val="24"/>
        </w:rPr>
        <w:t>Indigenous</w:t>
      </w:r>
      <w:r w:rsidRPr="00D05402">
        <w:rPr>
          <w:szCs w:val="24"/>
        </w:rPr>
        <w:t xml:space="preserve"> attitudes toward human remains. </w:t>
      </w:r>
    </w:p>
    <w:p w14:paraId="417EFA4D" w14:textId="29CCA0D1" w:rsidR="00052337" w:rsidRPr="00D05402" w:rsidRDefault="00052337" w:rsidP="000A2916">
      <w:pPr>
        <w:spacing w:line="480" w:lineRule="auto"/>
        <w:ind w:firstLine="720"/>
        <w:rPr>
          <w:szCs w:val="24"/>
        </w:rPr>
      </w:pPr>
      <w:r w:rsidRPr="00D05402">
        <w:rPr>
          <w:szCs w:val="24"/>
        </w:rPr>
        <w:t xml:space="preserve">For </w:t>
      </w:r>
      <w:r w:rsidR="00B17C9D" w:rsidRPr="00D05402">
        <w:rPr>
          <w:szCs w:val="24"/>
        </w:rPr>
        <w:t>these</w:t>
      </w:r>
      <w:r w:rsidRPr="00D05402">
        <w:rPr>
          <w:szCs w:val="24"/>
        </w:rPr>
        <w:t xml:space="preserve"> reason</w:t>
      </w:r>
      <w:r w:rsidR="00B17C9D" w:rsidRPr="00D05402">
        <w:rPr>
          <w:szCs w:val="24"/>
        </w:rPr>
        <w:t>s</w:t>
      </w:r>
      <w:r w:rsidRPr="00D05402">
        <w:rPr>
          <w:szCs w:val="24"/>
        </w:rPr>
        <w:t xml:space="preserve">, I do not discuss what people “will think” when they see memorials. I read these works as texts, following Roland Barthes’ work/text distinction in which the work is consumed while the text is played with and caught up in discourse; the work is taken at face value while the text is seen as symbolic; the work is examined as a product of the author and her historical time while the text is examined as a network of connections to readings and </w:t>
      </w:r>
      <w:r w:rsidRPr="00D05402">
        <w:rPr>
          <w:szCs w:val="24"/>
        </w:rPr>
        <w:lastRenderedPageBreak/>
        <w:t>interpretations.</w:t>
      </w:r>
      <w:r w:rsidRPr="00D05402">
        <w:rPr>
          <w:rStyle w:val="FootnoteReference"/>
          <w:szCs w:val="24"/>
        </w:rPr>
        <w:footnoteReference w:id="2"/>
      </w:r>
      <w:r w:rsidRPr="00D05402">
        <w:rPr>
          <w:szCs w:val="24"/>
        </w:rPr>
        <w:t xml:space="preserve"> This does not mean that historical context is unimportant – merely that it is also useful to read symbols such as monuments through careful analysis and interpretation of their outward aesthetic in order to analyze them within our current political context.</w:t>
      </w:r>
      <w:r w:rsidRPr="00D05402">
        <w:rPr>
          <w:rStyle w:val="FootnoteReference"/>
          <w:szCs w:val="24"/>
        </w:rPr>
        <w:footnoteReference w:id="3"/>
      </w:r>
      <w:r w:rsidRPr="00D05402">
        <w:rPr>
          <w:szCs w:val="24"/>
        </w:rPr>
        <w:t xml:space="preserve"> This is necessary, I argue, for a future-oriented political imaginary aimed at counteracting future violence. Textual reading also opens up possibilities for critical analysis that can identify the racism, sexism, or other oppressive meanings of a “text” even when its history, creation, or author predates feminism, anti-racism, etc. or its original authors did not intend such an oppressive meaning</w:t>
      </w:r>
      <w:r w:rsidR="00A6007A">
        <w:rPr>
          <w:szCs w:val="24"/>
        </w:rPr>
        <w:t xml:space="preserve"> </w:t>
      </w:r>
      <w:r w:rsidR="00A6007A">
        <w:rPr>
          <w:szCs w:val="24"/>
        </w:rPr>
        <w:fldChar w:fldCharType="begin"/>
      </w:r>
      <w:r w:rsidR="00A6007A">
        <w:rPr>
          <w:szCs w:val="24"/>
        </w:rPr>
        <w:instrText xml:space="preserve"> ADDIN ZOTERO_ITEM CSL_CITATION {"citationID":"K6q56Mjh","properties":{"formattedCitation":"(Britt 2000, 424)","plainCitation":"(Britt 2000, 424)","noteIndex":0},"citationItems":[{"id":1176,"uris":["http://zotero.org/users/3096777/items/C582GCXX"],"uri":["http://zotero.org/users/3096777/items/C582GCXX"],"itemData":{"id":1176,"type":"article-journal","title":"Apology for the Text, or Wigs and Veils","container-title":"Literature &amp; Theology","page":"412-429","volume":"14","issue":"4","author":[{"family":"Britt","given":"Brian"}],"issued":{"date-parts":[["2000"]]}},"locator":"424"}],"schema":"https://github.com/citation-style-language/schema/raw/master/csl-citation.json"} </w:instrText>
      </w:r>
      <w:r w:rsidR="00A6007A">
        <w:rPr>
          <w:szCs w:val="24"/>
        </w:rPr>
        <w:fldChar w:fldCharType="separate"/>
      </w:r>
      <w:r w:rsidR="00A6007A">
        <w:rPr>
          <w:noProof/>
          <w:szCs w:val="24"/>
        </w:rPr>
        <w:t>(Britt 2000, 424)</w:t>
      </w:r>
      <w:r w:rsidR="00A6007A">
        <w:rPr>
          <w:szCs w:val="24"/>
        </w:rPr>
        <w:fldChar w:fldCharType="end"/>
      </w:r>
      <w:r w:rsidRPr="00D05402">
        <w:rPr>
          <w:szCs w:val="24"/>
        </w:rPr>
        <w:t xml:space="preserve">. And while all texts are open to differing interpretation, without a critical reading of texts we are left without the tools to distinguish between readings or narratives that prop up oppression and violence and readings or narratives that criticize and wrangle with histories of violence and oppression, including counter-narratives. </w:t>
      </w:r>
    </w:p>
    <w:p w14:paraId="24CE5702" w14:textId="4320CE1C" w:rsidR="001509A9" w:rsidRDefault="00A330EB" w:rsidP="001509A9">
      <w:pPr>
        <w:shd w:val="clear" w:color="auto" w:fill="FFFFFF"/>
        <w:spacing w:line="480" w:lineRule="auto"/>
        <w:ind w:firstLine="720"/>
        <w:rPr>
          <w:szCs w:val="24"/>
        </w:rPr>
      </w:pPr>
      <w:r w:rsidRPr="00D05402">
        <w:rPr>
          <w:szCs w:val="24"/>
        </w:rPr>
        <w:t xml:space="preserve">In the remainder of this paper, I lay out what I see as </w:t>
      </w:r>
      <w:r w:rsidR="00203F3B">
        <w:rPr>
          <w:szCs w:val="24"/>
        </w:rPr>
        <w:t>one</w:t>
      </w:r>
      <w:r w:rsidRPr="00D05402">
        <w:rPr>
          <w:szCs w:val="24"/>
        </w:rPr>
        <w:t xml:space="preserve"> of the major </w:t>
      </w:r>
      <w:r w:rsidR="00203F3B">
        <w:rPr>
          <w:szCs w:val="24"/>
        </w:rPr>
        <w:t>debates</w:t>
      </w:r>
      <w:r w:rsidRPr="00D05402">
        <w:rPr>
          <w:szCs w:val="24"/>
        </w:rPr>
        <w:t xml:space="preserve"> among political theorists of solidarity</w:t>
      </w:r>
      <w:r w:rsidR="003F731C" w:rsidRPr="00D05402">
        <w:rPr>
          <w:szCs w:val="24"/>
        </w:rPr>
        <w:t xml:space="preserve"> </w:t>
      </w:r>
      <w:r w:rsidR="00203F3B">
        <w:rPr>
          <w:szCs w:val="24"/>
        </w:rPr>
        <w:t xml:space="preserve">(solidarity based on shared characteristics versus solidarity based on shared practice) </w:t>
      </w:r>
      <w:r w:rsidR="003F731C" w:rsidRPr="00D05402">
        <w:rPr>
          <w:szCs w:val="24"/>
        </w:rPr>
        <w:t xml:space="preserve">before showing, through close textual readings of </w:t>
      </w:r>
      <w:r w:rsidR="00D05402">
        <w:rPr>
          <w:szCs w:val="24"/>
        </w:rPr>
        <w:t>two memorials to colonial violence against Indigenous Australians, how a political aesthetic</w:t>
      </w:r>
      <w:r w:rsidR="00203F3B">
        <w:rPr>
          <w:szCs w:val="24"/>
        </w:rPr>
        <w:t xml:space="preserve"> </w:t>
      </w:r>
      <w:r w:rsidR="00D05402">
        <w:rPr>
          <w:szCs w:val="24"/>
        </w:rPr>
        <w:t>might begin to explore or cultivate political solidarity</w:t>
      </w:r>
      <w:r w:rsidR="00203F3B">
        <w:rPr>
          <w:szCs w:val="24"/>
        </w:rPr>
        <w:t xml:space="preserve"> as practice</w:t>
      </w:r>
      <w:r w:rsidR="006B038E">
        <w:rPr>
          <w:szCs w:val="24"/>
        </w:rPr>
        <w:t>.</w:t>
      </w:r>
      <w:r w:rsidR="0062398C">
        <w:rPr>
          <w:szCs w:val="24"/>
        </w:rPr>
        <w:t xml:space="preserve"> I tease out themes and issues of solidarity through these texts and ultimately </w:t>
      </w:r>
      <w:r w:rsidR="00203F3B">
        <w:rPr>
          <w:szCs w:val="24"/>
        </w:rPr>
        <w:t>describe the contours of</w:t>
      </w:r>
      <w:r w:rsidR="0062398C">
        <w:rPr>
          <w:szCs w:val="24"/>
        </w:rPr>
        <w:t xml:space="preserve"> a radical vision of political solidarity: one that extends to one’s enemies, even to perpetrators of violence and their </w:t>
      </w:r>
      <w:r w:rsidR="00B71ABA">
        <w:rPr>
          <w:szCs w:val="24"/>
        </w:rPr>
        <w:t>descendants</w:t>
      </w:r>
      <w:r w:rsidR="0062398C">
        <w:rPr>
          <w:szCs w:val="24"/>
        </w:rPr>
        <w:t>.</w:t>
      </w:r>
    </w:p>
    <w:p w14:paraId="11BDD6D5" w14:textId="77777777" w:rsidR="00ED76E1" w:rsidRPr="001509A9" w:rsidRDefault="00ED76E1" w:rsidP="001509A9">
      <w:pPr>
        <w:shd w:val="clear" w:color="auto" w:fill="FFFFFF"/>
        <w:spacing w:line="480" w:lineRule="auto"/>
        <w:ind w:firstLine="720"/>
        <w:rPr>
          <w:szCs w:val="24"/>
        </w:rPr>
      </w:pPr>
    </w:p>
    <w:p w14:paraId="5E122EF1" w14:textId="454936F6" w:rsidR="00A330EB" w:rsidRPr="00D05402" w:rsidRDefault="001509A9" w:rsidP="001509A9">
      <w:pPr>
        <w:pStyle w:val="Heading1"/>
      </w:pPr>
      <w:r>
        <w:t>Solidarity</w:t>
      </w:r>
      <w:r w:rsidR="00D05402">
        <w:t xml:space="preserve"> </w:t>
      </w:r>
    </w:p>
    <w:p w14:paraId="7C2464F5" w14:textId="38568B0A" w:rsidR="00BE43D6" w:rsidRDefault="00BE43D6" w:rsidP="00BE43D6">
      <w:pPr>
        <w:rPr>
          <w:szCs w:val="24"/>
        </w:rPr>
      </w:pPr>
    </w:p>
    <w:p w14:paraId="7A036273" w14:textId="607353AE" w:rsidR="00977932" w:rsidRDefault="00051025" w:rsidP="00977932">
      <w:pPr>
        <w:shd w:val="clear" w:color="auto" w:fill="FFFFFF"/>
        <w:spacing w:line="480" w:lineRule="auto"/>
        <w:contextualSpacing/>
        <w:rPr>
          <w:rFonts w:eastAsia="Times New Roman"/>
          <w:szCs w:val="24"/>
        </w:rPr>
      </w:pPr>
      <w:r>
        <w:rPr>
          <w:szCs w:val="24"/>
        </w:rPr>
        <w:lastRenderedPageBreak/>
        <w:t xml:space="preserve">There is considerable disagreement among theorists </w:t>
      </w:r>
      <w:r w:rsidR="002037A1">
        <w:rPr>
          <w:szCs w:val="24"/>
        </w:rPr>
        <w:t xml:space="preserve">of solidarity about what solidarity is or means. </w:t>
      </w:r>
      <w:r w:rsidR="000A64BE">
        <w:rPr>
          <w:szCs w:val="24"/>
        </w:rPr>
        <w:t>For Iris Marion Young, solidarity is “</w:t>
      </w:r>
      <w:r w:rsidR="000A64BE" w:rsidRPr="008E1C41">
        <w:rPr>
          <w:rFonts w:eastAsia="Times New Roman"/>
          <w:color w:val="auto"/>
        </w:rPr>
        <w:t>a sense of commitment and justice owed to people</w:t>
      </w:r>
      <w:r w:rsidR="000A64BE">
        <w:rPr>
          <w:rFonts w:eastAsia="Times New Roman"/>
          <w:color w:val="auto"/>
        </w:rPr>
        <w:t xml:space="preserve">” </w:t>
      </w:r>
      <w:r w:rsidR="000A64BE">
        <w:rPr>
          <w:rFonts w:eastAsia="Times New Roman"/>
          <w:color w:val="auto"/>
        </w:rPr>
        <w:fldChar w:fldCharType="begin"/>
      </w:r>
      <w:r w:rsidR="000A64BE">
        <w:rPr>
          <w:rFonts w:eastAsia="Times New Roman"/>
          <w:color w:val="auto"/>
        </w:rPr>
        <w:instrText xml:space="preserve"> ADDIN ZOTERO_ITEM CSL_CITATION {"citationID":"6U5nNugw","properties":{"formattedCitation":"(I. M. Young 2002, 222)","plainCitation":"(I. M. Young 2002, 222)","noteIndex":0},"citationItems":[{"id":1256,"uris":["http://zotero.org/users/3096777/items/J53UKL5B"],"uri":["http://zotero.org/users/3096777/items/J53UKL5B"],"itemData":{"id":1256,"type":"book","title":"Inclusion and Democracy","publisher":"Oxford University Press","publisher-place":"Oxford","source":"www.oxfordscholarship.com","event-place":"Oxford","abstract":"Residential racial and class segregation produce or exacerbate distributive injustice and political exclusion. Integration as the dispersal of a concentrated minority among the majority, however, often has its own harmful consequences. An alternative ideal of differentiated solidarity combines positive affinity grouping with non</w:instrText>
      </w:r>
      <w:r w:rsidR="000A64BE">
        <w:rPr>
          <w:rFonts w:ascii="Cambria Math" w:eastAsia="Times New Roman" w:hAnsi="Cambria Math" w:cs="Cambria Math"/>
          <w:color w:val="auto"/>
        </w:rPr>
        <w:instrText>‐</w:instrText>
      </w:r>
      <w:r w:rsidR="000A64BE">
        <w:rPr>
          <w:rFonts w:eastAsia="Times New Roman"/>
          <w:color w:val="auto"/>
        </w:rPr>
        <w:instrText xml:space="preserve">discrimination and regional government that encourages attention to shared problems and inequality.","URL":"http://www.oxfordscholarship.com/view/10.1093/0198297556.001.0001/acprof-9780198297550-chapter-7","ISBN":"978-0-19-171675-1","language":"en_US","author":[{"family":"Young","given":"Iris Marion"}],"issued":{"date-parts":[["2002"]]},"accessed":{"date-parts":[["2019",4,1]]}},"locator":"222"}],"schema":"https://github.com/citation-style-language/schema/raw/master/csl-citation.json"} </w:instrText>
      </w:r>
      <w:r w:rsidR="000A64BE">
        <w:rPr>
          <w:rFonts w:eastAsia="Times New Roman"/>
          <w:color w:val="auto"/>
        </w:rPr>
        <w:fldChar w:fldCharType="separate"/>
      </w:r>
      <w:r w:rsidR="000A64BE">
        <w:rPr>
          <w:rFonts w:eastAsia="Times New Roman"/>
          <w:noProof/>
          <w:color w:val="auto"/>
        </w:rPr>
        <w:t>(I. M. Young 2002, 222)</w:t>
      </w:r>
      <w:r w:rsidR="000A64BE">
        <w:rPr>
          <w:rFonts w:eastAsia="Times New Roman"/>
          <w:color w:val="auto"/>
        </w:rPr>
        <w:fldChar w:fldCharType="end"/>
      </w:r>
      <w:r w:rsidR="000A64BE">
        <w:rPr>
          <w:rFonts w:eastAsia="Times New Roman"/>
          <w:color w:val="auto"/>
        </w:rPr>
        <w:t xml:space="preserve">. </w:t>
      </w:r>
      <w:r w:rsidR="002037A1">
        <w:rPr>
          <w:szCs w:val="24"/>
        </w:rPr>
        <w:t>For Juliet Hooker, solidarity is</w:t>
      </w:r>
      <w:r w:rsidR="002037A1" w:rsidRPr="0057024B">
        <w:rPr>
          <w:rFonts w:eastAsia="Times New Roman"/>
          <w:szCs w:val="24"/>
        </w:rPr>
        <w:t xml:space="preserve"> “the reciprocal relations of trust and obligation established between members of a political community that are necessary in order for long-term egalitarian projects,” like democracy, “to flourish” </w:t>
      </w:r>
      <w:r w:rsidR="002037A1" w:rsidRPr="0057024B">
        <w:rPr>
          <w:rFonts w:eastAsia="Times New Roman"/>
          <w:szCs w:val="24"/>
        </w:rPr>
        <w:fldChar w:fldCharType="begin"/>
      </w:r>
      <w:r w:rsidR="002037A1" w:rsidRPr="0057024B">
        <w:rPr>
          <w:rFonts w:eastAsia="Times New Roman"/>
          <w:szCs w:val="24"/>
        </w:rPr>
        <w:instrText xml:space="preserve"> ADDIN ZOTERO_ITEM CSL_CITATION {"citationID":"ZDw8eed2","properties":{"formattedCitation":"(Hooker 2009, 4)","plainCitation":"(Hooker 2009, 4)","noteIndex":0},"citationItems":[{"id":1201,"uris":["http://zotero.org/users/3096777/items/APRUHULL"],"uri":["http://zotero.org/users/3096777/items/APRUHULL"],"itemData":{"id":1201,"type":"book","title":"Race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Press","publisher-place":"Oxford","event-place":"Oxford","author":[{"family":"Hooker","given":"Juliet"}],"issued":{"date-parts":[["2009"]]}},"locator":"4"}],"schema":"https://github.com/citation-style-language/schema/raw/master/csl-citation.json"} </w:instrText>
      </w:r>
      <w:r w:rsidR="002037A1" w:rsidRPr="0057024B">
        <w:rPr>
          <w:rFonts w:eastAsia="Times New Roman"/>
          <w:szCs w:val="24"/>
        </w:rPr>
        <w:fldChar w:fldCharType="separate"/>
      </w:r>
      <w:r w:rsidR="002037A1" w:rsidRPr="0057024B">
        <w:rPr>
          <w:rFonts w:eastAsia="Times New Roman"/>
          <w:noProof/>
          <w:szCs w:val="24"/>
        </w:rPr>
        <w:t>(Hooker 2009, 4)</w:t>
      </w:r>
      <w:r w:rsidR="002037A1" w:rsidRPr="0057024B">
        <w:rPr>
          <w:rFonts w:eastAsia="Times New Roman"/>
          <w:szCs w:val="24"/>
        </w:rPr>
        <w:fldChar w:fldCharType="end"/>
      </w:r>
      <w:r w:rsidR="002037A1" w:rsidRPr="0057024B">
        <w:rPr>
          <w:rFonts w:eastAsia="Times New Roman"/>
          <w:szCs w:val="24"/>
        </w:rPr>
        <w:t xml:space="preserve">, “the citizenly capacity to act in ways characterized by public-spiritedness or reciprocity” </w:t>
      </w:r>
      <w:r w:rsidR="002037A1">
        <w:rPr>
          <w:rFonts w:eastAsia="Times New Roman"/>
          <w:szCs w:val="24"/>
        </w:rPr>
        <w:fldChar w:fldCharType="begin"/>
      </w:r>
      <w:r w:rsidR="002037A1">
        <w:rPr>
          <w:rFonts w:eastAsia="Times New Roman"/>
          <w:szCs w:val="24"/>
        </w:rPr>
        <w:instrText xml:space="preserve"> ADDIN ZOTERO_ITEM CSL_CITATION {"citationID":"XaMWj9qn","properties":{"formattedCitation":"(Hooker 2009, 21)","plainCitation":"(Hooker 2009, 21)","noteIndex":0},"citationItems":[{"id":1201,"uris":["http://zotero.org/users/3096777/items/APRUHULL"],"uri":["http://zotero.org/users/3096777/items/APRUHULL"],"itemData":{"id":1201,"type":"book","title":"Race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Press","publisher-place":"Oxford","event-place":"Oxford","author":[{"family":"Hooker","given":"Juliet"}],"issued":{"date-parts":[["2009"]]}},"locator":"21"}],"schema":"https://github.com/citation-style-language/schema/raw/master/csl-citation.json"} </w:instrText>
      </w:r>
      <w:r w:rsidR="002037A1">
        <w:rPr>
          <w:rFonts w:eastAsia="Times New Roman"/>
          <w:szCs w:val="24"/>
        </w:rPr>
        <w:fldChar w:fldCharType="separate"/>
      </w:r>
      <w:r w:rsidR="002037A1">
        <w:rPr>
          <w:rFonts w:eastAsia="Times New Roman"/>
          <w:noProof/>
          <w:szCs w:val="24"/>
        </w:rPr>
        <w:t>(Hooker 2009, 21)</w:t>
      </w:r>
      <w:r w:rsidR="002037A1">
        <w:rPr>
          <w:rFonts w:eastAsia="Times New Roman"/>
          <w:szCs w:val="24"/>
        </w:rPr>
        <w:fldChar w:fldCharType="end"/>
      </w:r>
      <w:r w:rsidR="002037A1">
        <w:rPr>
          <w:rFonts w:eastAsia="Times New Roman"/>
          <w:szCs w:val="24"/>
        </w:rPr>
        <w:t>.</w:t>
      </w:r>
      <w:r w:rsidR="00620DDE">
        <w:rPr>
          <w:rFonts w:eastAsia="Times New Roman"/>
          <w:szCs w:val="24"/>
        </w:rPr>
        <w:t xml:space="preserve"> The concept </w:t>
      </w:r>
      <w:r w:rsidR="00620DDE" w:rsidRPr="00620DDE">
        <w:rPr>
          <w:rFonts w:eastAsia="Times New Roman"/>
          <w:szCs w:val="24"/>
        </w:rPr>
        <w:t xml:space="preserve">has roots in Greek polis-based ideas of civic friendship and Christian </w:t>
      </w:r>
      <w:r w:rsidR="00620DDE" w:rsidRPr="00620DDE">
        <w:rPr>
          <w:rFonts w:eastAsia="Times New Roman"/>
          <w:i/>
          <w:szCs w:val="24"/>
        </w:rPr>
        <w:t>caritas</w:t>
      </w:r>
      <w:r w:rsidR="00620DDE" w:rsidRPr="00620DDE">
        <w:rPr>
          <w:rFonts w:eastAsia="Times New Roman"/>
          <w:szCs w:val="24"/>
        </w:rPr>
        <w:t xml:space="preserve"> (brotherly love) as well as the specifically civic bonds between members of a political community that the French and American Revolutions emphasized, and today </w:t>
      </w:r>
      <w:r w:rsidR="00620DDE">
        <w:rPr>
          <w:rFonts w:eastAsia="Times New Roman"/>
          <w:szCs w:val="24"/>
        </w:rPr>
        <w:t>it</w:t>
      </w:r>
      <w:r w:rsidR="00620DDE" w:rsidRPr="00620DDE">
        <w:rPr>
          <w:rFonts w:eastAsia="Times New Roman"/>
          <w:szCs w:val="24"/>
        </w:rPr>
        <w:t xml:space="preserve"> mostly </w:t>
      </w:r>
      <w:r w:rsidR="00620DDE">
        <w:rPr>
          <w:rFonts w:eastAsia="Times New Roman"/>
          <w:szCs w:val="24"/>
        </w:rPr>
        <w:t>refers to</w:t>
      </w:r>
      <w:r w:rsidR="00620DDE" w:rsidRPr="00620DDE">
        <w:rPr>
          <w:rFonts w:eastAsia="Times New Roman"/>
          <w:szCs w:val="24"/>
        </w:rPr>
        <w:t xml:space="preserve"> solidarity between members of the same community, or fellow citizens (Hooker 22). M</w:t>
      </w:r>
      <w:r w:rsidR="00F86743">
        <w:rPr>
          <w:rFonts w:eastAsia="Times New Roman"/>
          <w:szCs w:val="24"/>
        </w:rPr>
        <w:t>e</w:t>
      </w:r>
      <w:r w:rsidR="00620DDE" w:rsidRPr="00620DDE">
        <w:rPr>
          <w:rFonts w:eastAsia="Times New Roman"/>
          <w:szCs w:val="24"/>
        </w:rPr>
        <w:t xml:space="preserve">rriam-Webster cites the first known usage to 1841, as the French </w:t>
      </w:r>
      <w:r w:rsidR="00620DDE" w:rsidRPr="00620DDE">
        <w:rPr>
          <w:rFonts w:eastAsia="Times New Roman"/>
          <w:i/>
          <w:szCs w:val="24"/>
        </w:rPr>
        <w:t>solidarité</w:t>
      </w:r>
      <w:r w:rsidR="007C66E2">
        <w:rPr>
          <w:rFonts w:eastAsia="Times New Roman"/>
          <w:szCs w:val="24"/>
        </w:rPr>
        <w:t>, from the Latin for “unity”</w:t>
      </w:r>
      <w:r w:rsidR="007946EE">
        <w:rPr>
          <w:rFonts w:eastAsia="Times New Roman"/>
          <w:szCs w:val="24"/>
        </w:rPr>
        <w:t xml:space="preserve"> </w:t>
      </w:r>
      <w:r w:rsidR="00620DDE" w:rsidRPr="00620DDE">
        <w:rPr>
          <w:rFonts w:eastAsia="Times New Roman"/>
          <w:szCs w:val="24"/>
        </w:rPr>
        <w:t>.</w:t>
      </w:r>
      <w:r w:rsidR="00933B15">
        <w:rPr>
          <w:rFonts w:eastAsia="Times New Roman"/>
          <w:szCs w:val="24"/>
        </w:rPr>
        <w:t xml:space="preserve"> </w:t>
      </w:r>
      <w:r w:rsidR="00675CFF">
        <w:rPr>
          <w:rFonts w:eastAsia="Times New Roman"/>
          <w:szCs w:val="24"/>
        </w:rPr>
        <w:t>But p</w:t>
      </w:r>
      <w:r w:rsidR="00933B15">
        <w:rPr>
          <w:rFonts w:eastAsia="Times New Roman"/>
          <w:szCs w:val="24"/>
        </w:rPr>
        <w:t>hilosophers have explored similar concepts</w:t>
      </w:r>
      <w:r w:rsidR="00675CFF">
        <w:rPr>
          <w:rFonts w:eastAsia="Times New Roman"/>
          <w:szCs w:val="24"/>
        </w:rPr>
        <w:t xml:space="preserve"> under different names</w:t>
      </w:r>
      <w:r w:rsidR="00933B15">
        <w:rPr>
          <w:rFonts w:eastAsia="Times New Roman"/>
          <w:szCs w:val="24"/>
        </w:rPr>
        <w:t xml:space="preserve"> – mutual trust, political friendship, and other-thinking or other-feeling – since at least Aristotle, who </w:t>
      </w:r>
      <w:r w:rsidR="00933B15" w:rsidRPr="0057024B">
        <w:rPr>
          <w:rFonts w:eastAsia="Times New Roman"/>
          <w:szCs w:val="24"/>
        </w:rPr>
        <w:t>was concerned with the question of whether citizens would trust each other</w:t>
      </w:r>
      <w:r w:rsidR="00933B15">
        <w:rPr>
          <w:rFonts w:eastAsia="Times New Roman"/>
          <w:szCs w:val="24"/>
        </w:rPr>
        <w:t xml:space="preserve"> </w:t>
      </w:r>
      <w:r w:rsidR="00933B15">
        <w:rPr>
          <w:rFonts w:eastAsia="Times New Roman"/>
          <w:szCs w:val="24"/>
        </w:rPr>
        <w:fldChar w:fldCharType="begin"/>
      </w:r>
      <w:r w:rsidR="00933B15">
        <w:rPr>
          <w:rFonts w:eastAsia="Times New Roman"/>
          <w:szCs w:val="24"/>
        </w:rPr>
        <w:instrText xml:space="preserve"> ADDIN ZOTERO_ITEM CSL_CITATION {"citationID":"bxTZNXB5","properties":{"formattedCitation":"(Aristotle 1998)","plainCitation":"(Aristotle 1998)","noteIndex":0},"citationItems":[{"id":289,"uris":["http://zotero.org/users/3096777/items/XDE6LFWC"],"uri":["http://zotero.org/users/3096777/items/XDE6LFWC"],"itemData":{"id":289,"type":"book","title":"Politics","publisher":"Hackett Publishing Company","publisher-place":"Indianapolis","event-place":"Indianapolis","author":[{"family":"Aristotle","given":""}],"translator":[{"family":"Reeve","given":"C. D. C."}],"issued":{"date-parts":[["1998"]]}}}],"schema":"https://github.com/citation-style-language/schema/raw/master/csl-citation.json"} </w:instrText>
      </w:r>
      <w:r w:rsidR="00933B15">
        <w:rPr>
          <w:rFonts w:eastAsia="Times New Roman"/>
          <w:szCs w:val="24"/>
        </w:rPr>
        <w:fldChar w:fldCharType="separate"/>
      </w:r>
      <w:r w:rsidR="00933B15">
        <w:rPr>
          <w:rFonts w:eastAsia="Times New Roman"/>
          <w:noProof/>
          <w:szCs w:val="24"/>
        </w:rPr>
        <w:t>(Aristotle 1998)</w:t>
      </w:r>
      <w:r w:rsidR="00933B15">
        <w:rPr>
          <w:rFonts w:eastAsia="Times New Roman"/>
          <w:szCs w:val="24"/>
        </w:rPr>
        <w:fldChar w:fldCharType="end"/>
      </w:r>
      <w:r w:rsidR="00933B15">
        <w:rPr>
          <w:rFonts w:eastAsia="Times New Roman"/>
          <w:szCs w:val="24"/>
        </w:rPr>
        <w:t>.</w:t>
      </w:r>
      <w:r w:rsidR="004F12B4">
        <w:rPr>
          <w:rFonts w:eastAsia="Times New Roman"/>
          <w:szCs w:val="24"/>
        </w:rPr>
        <w:t xml:space="preserve"> </w:t>
      </w:r>
      <w:r w:rsidR="00675CFF">
        <w:rPr>
          <w:rFonts w:eastAsia="Times New Roman"/>
          <w:szCs w:val="24"/>
        </w:rPr>
        <w:t>Here, I will consider solidarity to be a set of prosocial attitudes</w:t>
      </w:r>
      <w:r w:rsidR="00AB3325">
        <w:rPr>
          <w:rFonts w:eastAsia="Times New Roman"/>
          <w:szCs w:val="24"/>
        </w:rPr>
        <w:t xml:space="preserve"> and practices that,</w:t>
      </w:r>
      <w:r w:rsidR="00BA521D">
        <w:rPr>
          <w:rFonts w:eastAsia="Times New Roman"/>
          <w:szCs w:val="24"/>
        </w:rPr>
        <w:t xml:space="preserve"> by cultivating understanding of others</w:t>
      </w:r>
      <w:r w:rsidR="00193EE3">
        <w:rPr>
          <w:rFonts w:eastAsia="Times New Roman"/>
          <w:szCs w:val="24"/>
        </w:rPr>
        <w:t xml:space="preserve"> who are different from ourselves,</w:t>
      </w:r>
      <w:r w:rsidR="00BA521D">
        <w:rPr>
          <w:rFonts w:eastAsia="Times New Roman"/>
          <w:szCs w:val="24"/>
        </w:rPr>
        <w:t xml:space="preserve"> orients us to see others as “with” us in one sense or another.</w:t>
      </w:r>
      <w:r w:rsidR="00C46548">
        <w:rPr>
          <w:rFonts w:eastAsia="Times New Roman"/>
          <w:szCs w:val="24"/>
        </w:rPr>
        <w:t xml:space="preserve"> The first part of this definition, the prosocial attitudes</w:t>
      </w:r>
      <w:r w:rsidR="00AB3325">
        <w:rPr>
          <w:rFonts w:eastAsia="Times New Roman"/>
          <w:szCs w:val="24"/>
        </w:rPr>
        <w:t xml:space="preserve"> and practices</w:t>
      </w:r>
      <w:r w:rsidR="00C46548">
        <w:rPr>
          <w:rFonts w:eastAsia="Times New Roman"/>
          <w:szCs w:val="24"/>
        </w:rPr>
        <w:t xml:space="preserve">, emphasizes relationality and connections between people that form the social fabric and make politics possible. </w:t>
      </w:r>
      <w:r w:rsidR="00AB3325">
        <w:rPr>
          <w:rFonts w:eastAsia="Times New Roman"/>
          <w:szCs w:val="24"/>
        </w:rPr>
        <w:t xml:space="preserve">As I will discuss in the next section, solidarity based on shared activity or practices rather than shared characteristics is a more compelling basis for solidarity. </w:t>
      </w:r>
      <w:r w:rsidR="00C46548">
        <w:rPr>
          <w:rFonts w:eastAsia="Times New Roman"/>
          <w:szCs w:val="24"/>
        </w:rPr>
        <w:t>The second part, understanding</w:t>
      </w:r>
      <w:r w:rsidR="00193EE3">
        <w:rPr>
          <w:rFonts w:eastAsia="Times New Roman"/>
          <w:szCs w:val="24"/>
        </w:rPr>
        <w:t xml:space="preserve"> those who are different</w:t>
      </w:r>
      <w:r w:rsidR="00C46548">
        <w:rPr>
          <w:rFonts w:eastAsia="Times New Roman"/>
          <w:szCs w:val="24"/>
        </w:rPr>
        <w:t xml:space="preserve">, is purposefully vague. We might be able to understand some aspects of another without having to understand them fully; a basic level of understanding another is grasping that the other shares common experiences (of pain, grief, political activity, or </w:t>
      </w:r>
      <w:r w:rsidR="00C46548">
        <w:rPr>
          <w:rFonts w:eastAsia="Times New Roman"/>
          <w:szCs w:val="24"/>
        </w:rPr>
        <w:lastRenderedPageBreak/>
        <w:t xml:space="preserve">simple activities of daily life). The last part, seeing others as “with” us, returns us to the etymological roots of solidarity – the Latin </w:t>
      </w:r>
      <w:r w:rsidR="00C46548">
        <w:rPr>
          <w:rFonts w:eastAsia="Times New Roman"/>
          <w:i/>
          <w:szCs w:val="24"/>
        </w:rPr>
        <w:t>solidum</w:t>
      </w:r>
      <w:r w:rsidR="00C46548">
        <w:rPr>
          <w:rFonts w:eastAsia="Times New Roman"/>
          <w:szCs w:val="24"/>
        </w:rPr>
        <w:t xml:space="preserve">, or “whole.” </w:t>
      </w:r>
      <w:r w:rsidR="009D0308">
        <w:rPr>
          <w:rFonts w:eastAsia="Times New Roman"/>
          <w:szCs w:val="24"/>
        </w:rPr>
        <w:t>We do not have to like someone or even agree with them</w:t>
      </w:r>
      <w:r w:rsidR="002A5621">
        <w:rPr>
          <w:rFonts w:eastAsia="Times New Roman"/>
          <w:szCs w:val="24"/>
        </w:rPr>
        <w:t xml:space="preserve"> (we can even hate them)</w:t>
      </w:r>
      <w:r w:rsidR="009D0308">
        <w:rPr>
          <w:rFonts w:eastAsia="Times New Roman"/>
          <w:szCs w:val="24"/>
        </w:rPr>
        <w:t xml:space="preserve"> in order for us to feel the basic sense that we are “with” them</w:t>
      </w:r>
      <w:r w:rsidR="002A5621">
        <w:rPr>
          <w:rFonts w:eastAsia="Times New Roman"/>
          <w:szCs w:val="24"/>
        </w:rPr>
        <w:t xml:space="preserve">, whether that means that they </w:t>
      </w:r>
      <w:r w:rsidR="00F80EE0">
        <w:rPr>
          <w:rFonts w:eastAsia="Times New Roman"/>
          <w:szCs w:val="24"/>
        </w:rPr>
        <w:t>share in common cause with us, participate with us in politics, or just exist in the same political community as us.</w:t>
      </w:r>
      <w:r w:rsidR="00B10DB9">
        <w:rPr>
          <w:rStyle w:val="FootnoteReference"/>
          <w:rFonts w:eastAsia="Times New Roman"/>
          <w:szCs w:val="24"/>
        </w:rPr>
        <w:footnoteReference w:id="4"/>
      </w:r>
      <w:r w:rsidR="00F80EE0">
        <w:rPr>
          <w:rFonts w:eastAsia="Times New Roman"/>
          <w:szCs w:val="24"/>
        </w:rPr>
        <w:t xml:space="preserve"> </w:t>
      </w:r>
    </w:p>
    <w:p w14:paraId="617A06A5" w14:textId="018D6A69" w:rsidR="00780EE4" w:rsidRDefault="00977932" w:rsidP="00316B19">
      <w:pPr>
        <w:shd w:val="clear" w:color="auto" w:fill="FFFFFF"/>
        <w:spacing w:line="480" w:lineRule="auto"/>
        <w:ind w:firstLine="720"/>
        <w:contextualSpacing/>
        <w:rPr>
          <w:rFonts w:eastAsia="Times New Roman"/>
          <w:szCs w:val="24"/>
        </w:rPr>
      </w:pPr>
      <w:r w:rsidRPr="006B494F">
        <w:rPr>
          <w:rFonts w:eastAsia="Times New Roman"/>
          <w:szCs w:val="24"/>
        </w:rPr>
        <w:t xml:space="preserve">A note: many theorists </w:t>
      </w:r>
      <w:r w:rsidRPr="006B494F">
        <w:rPr>
          <w:rFonts w:eastAsia="Times New Roman"/>
          <w:szCs w:val="24"/>
        </w:rPr>
        <w:fldChar w:fldCharType="begin"/>
      </w:r>
      <w:r w:rsidRPr="006B494F">
        <w:rPr>
          <w:rFonts w:eastAsia="Times New Roman"/>
          <w:szCs w:val="24"/>
        </w:rPr>
        <w:instrText xml:space="preserve"> ADDIN ZOTERO_ITEM CSL_CITATION {"citationID":"kn0HdRBf","properties":{"formattedCitation":"(e.g. Allen 2004; Ferguson 2012)","plainCitation":"(e.g. Allen 2004; Ferguson 2012)","noteIndex":0},"citationItems":[{"id":248,"uris":["http://zotero.org/users/3096777/items/PLXCJILG"],"uri":["http://zotero.org/users/3096777/items/PLXCJILG"],"itemData":{"id":248,"type":"book","title":"Talking to Strangers: Anxieties of Citizenship Since Brown v. Board of Education","publisher":"The University of Chicago Press","publisher-place":"Chicago","event-place":"Chicago","author":[{"family":"Allen","given":"Danielle"}],"issued":{"date-parts":[["2004"]]}},"prefix":"e.g."},{"id":1198,"uris":["http://zotero.org/users/3096777/items/PQ4BKEE7"],"uri":["http://zotero.org/users/3096777/items/PQ4BKEE7"],"itemData":{"id":1198,"type":"book","title":"Sharing Democracy","publisher":"Oxford University Press","publisher-place":"Oxford","event-place":"Oxford","ISBN":"978-0-19-992158-4","author":[{"family":"Ferguson","given":"Michaele L."}],"issued":{"date-parts":[["2012"]]}}}],"schema":"https://github.com/citation-style-language/schema/raw/master/csl-citation.json"} </w:instrText>
      </w:r>
      <w:r w:rsidRPr="006B494F">
        <w:rPr>
          <w:rFonts w:eastAsia="Times New Roman"/>
          <w:szCs w:val="24"/>
        </w:rPr>
        <w:fldChar w:fldCharType="separate"/>
      </w:r>
      <w:r w:rsidR="00D60D77">
        <w:rPr>
          <w:rFonts w:eastAsia="Times New Roman"/>
          <w:noProof/>
          <w:szCs w:val="24"/>
        </w:rPr>
        <w:t>(e.g. Allen 2004; Ferguson 2012)</w:t>
      </w:r>
      <w:r w:rsidRPr="006B494F">
        <w:rPr>
          <w:rFonts w:eastAsia="Times New Roman"/>
          <w:szCs w:val="24"/>
        </w:rPr>
        <w:fldChar w:fldCharType="end"/>
      </w:r>
      <w:r w:rsidRPr="006B494F">
        <w:rPr>
          <w:rFonts w:eastAsia="Times New Roman"/>
          <w:szCs w:val="24"/>
        </w:rPr>
        <w:t xml:space="preserve"> focus on </w:t>
      </w:r>
      <w:r w:rsidRPr="006B494F">
        <w:rPr>
          <w:rFonts w:eastAsia="Times New Roman"/>
          <w:i/>
          <w:szCs w:val="24"/>
        </w:rPr>
        <w:t xml:space="preserve">democratic </w:t>
      </w:r>
      <w:r w:rsidRPr="006B494F">
        <w:rPr>
          <w:rFonts w:eastAsia="Times New Roman"/>
          <w:szCs w:val="24"/>
        </w:rPr>
        <w:t xml:space="preserve">solidarity. I want to note that even non-democratic political societies may strive for and attain solidarity; certainly, in the Soviet Union there was </w:t>
      </w:r>
      <w:r w:rsidR="00F86743">
        <w:rPr>
          <w:rFonts w:eastAsia="Times New Roman"/>
          <w:szCs w:val="24"/>
        </w:rPr>
        <w:t xml:space="preserve">sometimes </w:t>
      </w:r>
      <w:r w:rsidRPr="006B494F">
        <w:rPr>
          <w:rFonts w:eastAsia="Times New Roman"/>
          <w:szCs w:val="24"/>
        </w:rPr>
        <w:t xml:space="preserve">a great sense of fellow-feeling among many (but not all) citizens. However, democracy cultivates shared practices of citizenship better than do many (but not all) non-democratic forms of government, and thus much of what I discuss here is more pertinent to democracies than to other forms of governance. </w:t>
      </w:r>
    </w:p>
    <w:p w14:paraId="2937E928" w14:textId="77777777" w:rsidR="00316B19" w:rsidRPr="00316B19" w:rsidRDefault="00316B19" w:rsidP="00316B19">
      <w:pPr>
        <w:shd w:val="clear" w:color="auto" w:fill="FFFFFF"/>
        <w:spacing w:line="480" w:lineRule="auto"/>
        <w:ind w:firstLine="720"/>
        <w:contextualSpacing/>
        <w:rPr>
          <w:rFonts w:eastAsia="Times New Roman"/>
          <w:szCs w:val="24"/>
        </w:rPr>
      </w:pPr>
    </w:p>
    <w:p w14:paraId="2C0DEBEF" w14:textId="26BAA5DE" w:rsidR="00780EE4" w:rsidRPr="000E1606" w:rsidRDefault="00780EE4" w:rsidP="00780EE4">
      <w:pPr>
        <w:pStyle w:val="Heading2"/>
      </w:pPr>
      <w:r w:rsidRPr="000E1606">
        <w:t>Solidarity as Common Characteristics</w:t>
      </w:r>
    </w:p>
    <w:p w14:paraId="2D20FFC6" w14:textId="77777777" w:rsidR="00780EE4" w:rsidRPr="0087300E" w:rsidRDefault="00780EE4" w:rsidP="00780EE4"/>
    <w:p w14:paraId="66012180" w14:textId="1F1BF832" w:rsidR="00780EE4" w:rsidRDefault="00780EE4" w:rsidP="00780EE4">
      <w:pPr>
        <w:spacing w:line="480" w:lineRule="auto"/>
        <w:ind w:firstLine="720"/>
      </w:pPr>
      <w:r>
        <w:t xml:space="preserve">Some theories of solidarity consider common or shared characteristics as the basis for solidarity. Of these, I briefly discuss theories based on shared membership in a political </w:t>
      </w:r>
      <w:r>
        <w:lastRenderedPageBreak/>
        <w:t xml:space="preserve">community and theories based on ideas of the human. First, many theories of solidarity based on commonality emphasize national solidarity and solidarity with one’s local community. For example, David Miller forwards common membership in a national community as a basis for solidarity </w:t>
      </w:r>
      <w:r>
        <w:fldChar w:fldCharType="begin"/>
      </w:r>
      <w:r>
        <w:instrText xml:space="preserve"> ADDIN ZOTERO_ITEM CSL_CITATION {"citationID":"zK4a7d5J","properties":{"formattedCitation":"(Miller 1997)","plainCitation":"(Miller 1997)","noteIndex":0},"citationItems":[{"id":1274,"uris":["http://zotero.org/users/3096777/items/A5XT2FCH"],"uri":["http://zotero.org/users/3096777/items/A5XT2FCH"],"itemData":{"id":1274,"type":"book","title":"On Nationality","collection-title":"Oxford Political Theory","publisher":"Oxford University Press","publisher-place":"Oxford","source":"www.oxfordscholarship.com.libproxy.lib.unc.edu","event-place":"Oxford","URL":"http://www.oxfordscholarship.com/view/10.1093/0198293569.001.0001/acprof-9780198293569-chapter-4","ISBN":"978-0-19-159991-0","note":"Originally published 1995","language":"en_US","author":[{"family":"Miller","given":"David"}],"issued":{"date-parts":[["1997"]]},"accessed":{"date-parts":[["2019",4,10]]}}}],"schema":"https://github.com/citation-style-language/schema/raw/master/csl-citation.json"} </w:instrText>
      </w:r>
      <w:r>
        <w:fldChar w:fldCharType="separate"/>
      </w:r>
      <w:r>
        <w:rPr>
          <w:noProof/>
        </w:rPr>
        <w:t>(Miller 1997)</w:t>
      </w:r>
      <w:r>
        <w:fldChar w:fldCharType="end"/>
      </w:r>
      <w:r>
        <w:t>. Iris Marion Young also bases solidarity in political community, on the fact that “</w:t>
      </w:r>
      <w:r w:rsidRPr="008E1C41">
        <w:rPr>
          <w:rFonts w:eastAsia="Times New Roman"/>
          <w:color w:val="auto"/>
        </w:rPr>
        <w:t>people live together</w:t>
      </w:r>
      <w:r w:rsidRPr="00A35CAF">
        <w:t xml:space="preserve"> </w:t>
      </w:r>
      <w:r>
        <w:t xml:space="preserve">… </w:t>
      </w:r>
      <w:r w:rsidRPr="008E1C41">
        <w:rPr>
          <w:rFonts w:eastAsia="Times New Roman"/>
          <w:color w:val="auto"/>
        </w:rPr>
        <w:t>in a locale or region, whether they like it or not</w:t>
      </w:r>
      <w:r>
        <w:rPr>
          <w:rFonts w:eastAsia="Times New Roman"/>
          <w:color w:val="auto"/>
        </w:rPr>
        <w:t>”</w:t>
      </w:r>
      <w:r>
        <w:t xml:space="preserve"> in economies and societies that make them dependent on, and affected by, each other </w:t>
      </w:r>
      <w:r>
        <w:fldChar w:fldCharType="begin"/>
      </w:r>
      <w:r w:rsidR="0059457C">
        <w:instrText xml:space="preserve"> ADDIN ZOTERO_ITEM CSL_CITATION {"citationID":"JC2L145x","properties":{"formattedCitation":"(I. M. Young 2002, 222)","plainCitation":"(I. M. Young 2002, 222)","noteIndex":0},"citationItems":[{"id":1256,"uris":["http://zotero.org/users/3096777/items/J53UKL5B"],"uri":["http://zotero.org/users/3096777/items/J53UKL5B"],"itemData":{"id":1256,"type":"book","title":"Inclusion and Democracy","publisher":"Oxford University Press","publisher-place":"Oxford","source":"www.oxfordscholarship.com","event-place":"Oxford","abstract":"Residential racial and class segregation produce or exacerbate distributive injustice and political exclusion. Integration as the dispersal of a concentrated minority among the majority, however, often has its own harmful consequences. An alternative ideal of differentiated solidarity combines positive affinity grouping with non</w:instrText>
      </w:r>
      <w:r w:rsidR="0059457C">
        <w:rPr>
          <w:rFonts w:ascii="Cambria Math" w:hAnsi="Cambria Math" w:cs="Cambria Math"/>
        </w:rPr>
        <w:instrText>‐</w:instrText>
      </w:r>
      <w:r w:rsidR="0059457C">
        <w:instrText xml:space="preserve">discrimination and regional government that encourages attention to shared problems and inequality.","URL":"http://www.oxfordscholarship.com/view/10.1093/0198297556.001.0001/acprof-9780198297550-chapter-7","ISBN":"978-0-19-171675-1","language":"en_US","author":[{"family":"Young","given":"Iris Marion"}],"issued":{"date-parts":[["2002"]]},"accessed":{"date-parts":[["2019",4,1]]}},"locator":"222"}],"schema":"https://github.com/citation-style-language/schema/raw/master/csl-citation.json"} </w:instrText>
      </w:r>
      <w:r>
        <w:fldChar w:fldCharType="separate"/>
      </w:r>
      <w:r w:rsidR="0059457C">
        <w:rPr>
          <w:noProof/>
        </w:rPr>
        <w:t>(I. M. Young 2002, 222)</w:t>
      </w:r>
      <w:r>
        <w:fldChar w:fldCharType="end"/>
      </w:r>
      <w:r>
        <w:t>.</w:t>
      </w:r>
      <w:r>
        <w:rPr>
          <w:rStyle w:val="FootnoteReference"/>
        </w:rPr>
        <w:footnoteReference w:id="5"/>
      </w:r>
      <w:r>
        <w:t xml:space="preserve"> Although Young denies that her theory of solidarity is one based on “fellow feeling or mutual identification,” </w:t>
      </w:r>
      <w:r>
        <w:fldChar w:fldCharType="begin"/>
      </w:r>
      <w:r w:rsidR="0059457C">
        <w:instrText xml:space="preserve"> ADDIN ZOTERO_ITEM CSL_CITATION {"citationID":"YJDyYgkj","properties":{"formattedCitation":"(I. M. Young 2002, 222)","plainCitation":"(I. M. Young 2002, 222)","noteIndex":0},"citationItems":[{"id":1256,"uris":["http://zotero.org/users/3096777/items/J53UKL5B"],"uri":["http://zotero.org/users/3096777/items/J53UKL5B"],"itemData":{"id":1256,"type":"book","title":"Inclusion and Democracy","publisher":"Oxford University Press","publisher-place":"Oxford","source":"www.oxfordscholarship.com","event-place":"Oxford","abstract":"Residential racial and class segregation produce or exacerbate distributive injustice and political exclusion. Integration as the dispersal of a concentrated minority among the majority, however, often has its own harmful consequences. An alternative ideal of differentiated solidarity combines positive affinity grouping with non</w:instrText>
      </w:r>
      <w:r w:rsidR="0059457C">
        <w:rPr>
          <w:rFonts w:ascii="Cambria Math" w:hAnsi="Cambria Math" w:cs="Cambria Math"/>
        </w:rPr>
        <w:instrText>‐</w:instrText>
      </w:r>
      <w:r w:rsidR="0059457C">
        <w:instrText xml:space="preserve">discrimination and regional government that encourages attention to shared problems and inequality.","URL":"http://www.oxfordscholarship.com/view/10.1093/0198297556.001.0001/acprof-9780198297550-chapter-7","ISBN":"978-0-19-171675-1","language":"en_US","author":[{"family":"Young","given":"Iris Marion"}],"issued":{"date-parts":[["2002"]]},"accessed":{"date-parts":[["2019",4,1]]}},"locator":"222"}],"schema":"https://github.com/citation-style-language/schema/raw/master/csl-citation.json"} </w:instrText>
      </w:r>
      <w:r>
        <w:fldChar w:fldCharType="separate"/>
      </w:r>
      <w:r w:rsidR="0059457C">
        <w:rPr>
          <w:noProof/>
        </w:rPr>
        <w:t>(I. M. Young 2002, 222)</w:t>
      </w:r>
      <w:r>
        <w:fldChar w:fldCharType="end"/>
      </w:r>
      <w:r>
        <w:t xml:space="preserve"> her solidarity is based on shared membership in a political community (a characteristic, not a practice). </w:t>
      </w:r>
    </w:p>
    <w:p w14:paraId="546F0BC8" w14:textId="77777777" w:rsidR="00780EE4" w:rsidRDefault="00780EE4" w:rsidP="00780EE4">
      <w:pPr>
        <w:spacing w:line="480" w:lineRule="auto"/>
        <w:ind w:firstLine="720"/>
      </w:pPr>
      <w:r>
        <w:t xml:space="preserve">One important limitation to national solidarity is obvious: we might want to cultivate solidarity with those outside our own political communities. National or local solidarity might be useful for promoting national unity or political participation, but here I focus on solidarity as it might cultivate an aversion to future violence, and much of the history of nationalism is a history of violence. The last part of my definition of solidarity, that we feel that someone is “with” us, aligns well with national solidarity but the second part, that we understand others as sharing in common activities (such as grieving or cooking for our families or experiencing physical pain), does not require shared membership in a political community. Moreover, as Juliet Hooker points out, sometimes national fellow-feeling is not enough to overcome racial animus. </w:t>
      </w:r>
    </w:p>
    <w:p w14:paraId="4323E128" w14:textId="77777777" w:rsidR="00780EE4" w:rsidRPr="00275ED6" w:rsidRDefault="00780EE4" w:rsidP="00780EE4">
      <w:pPr>
        <w:spacing w:line="480" w:lineRule="auto"/>
        <w:ind w:firstLine="720"/>
      </w:pPr>
      <w:r>
        <w:t xml:space="preserve">Second, universalist and humanist theories of solidarity claim that solidarity is based on common characteristics, like innate human nature. For example, political philosopher Martha Nussbaum argues, against critics of universal humanism, that it is possible to construct a normative vision of the human that is inclusive of all humans rather than exclusive of the </w:t>
      </w:r>
      <w:r>
        <w:lastRenderedPageBreak/>
        <w:t xml:space="preserve">disabled, racial minorities, and women, as the category of “human” has been used throughout much of Western thought. Nussbaum lists </w:t>
      </w:r>
      <w:r w:rsidRPr="008615F4">
        <w:t xml:space="preserve">life, bodily health and integrity, bodily integrity, senses/imagination/thought, emotions, practical reason, affiliation, </w:t>
      </w:r>
      <w:r>
        <w:t xml:space="preserve">engagement with </w:t>
      </w:r>
      <w:r w:rsidRPr="008615F4">
        <w:t xml:space="preserve">other species, play, </w:t>
      </w:r>
      <w:r>
        <w:t xml:space="preserve">and </w:t>
      </w:r>
      <w:r w:rsidRPr="008615F4">
        <w:t>control over one’s environment</w:t>
      </w:r>
      <w:r>
        <w:t xml:space="preserve"> as core human “capabilities,” and argues that denial of any of these capabilities means denying people a good life and the ability to truly fulfill our potential as humans </w:t>
      </w:r>
      <w:r>
        <w:fldChar w:fldCharType="begin"/>
      </w:r>
      <w:r>
        <w:instrText xml:space="preserve"> ADDIN ZOTERO_ITEM CSL_CITATION {"citationID":"pX3SfDTT","properties":{"formattedCitation":"(Nussbaum 1995, 41\\uc0\\u8211{}45)","plainCitation":"(Nussbaum 1995, 41–45)","noteIndex":0},"citationItems":[{"id":978,"uris":["http://zotero.org/users/3096777/items/EDH8E9ZY"],"uri":["http://zotero.org/users/3096777/items/EDH8E9ZY"],"itemData":{"id":978,"type":"chapter","title":"Human Capabilities, Capable Human Beings","container-title":"Women, Culture, and Development: A Study of Human Capabilities","publisher":"Oxford University Press","publisher-place":"Oxford","event-place":"Oxford","author":[{"family":"Nussbaum","given":"Martha"}],"editor":[{"family":"Nussbaum","given":"Martha"},{"family":"Glover","given":"Jonathan"}],"issued":{"date-parts":[["1995"]]}},"locator":"41-45"}],"schema":"https://github.com/citation-style-language/schema/raw/master/csl-citation.json"} </w:instrText>
      </w:r>
      <w:r>
        <w:fldChar w:fldCharType="separate"/>
      </w:r>
      <w:r w:rsidRPr="008615F4">
        <w:rPr>
          <w:color w:val="000000"/>
        </w:rPr>
        <w:t>(Nussbaum 1995, 41–45)</w:t>
      </w:r>
      <w:r>
        <w:fldChar w:fldCharType="end"/>
      </w:r>
      <w:r>
        <w:t xml:space="preserve">. This and similar ideas of what constitutes a “human” have formed the basis for many theories of “human solidarity,” a theory of solidarity based on the innate characteristics of all humans. Human solidarity argues that we can find solidarity with any other human </w:t>
      </w:r>
      <w:r>
        <w:rPr>
          <w:i/>
        </w:rPr>
        <w:t>qua</w:t>
      </w:r>
      <w:r>
        <w:t xml:space="preserve"> human.</w:t>
      </w:r>
    </w:p>
    <w:p w14:paraId="52818BC7" w14:textId="77777777" w:rsidR="00780EE4" w:rsidRPr="00333B34" w:rsidRDefault="00780EE4" w:rsidP="00780EE4">
      <w:pPr>
        <w:spacing w:line="480" w:lineRule="auto"/>
      </w:pPr>
      <w:r w:rsidRPr="004D7B11">
        <w:rPr>
          <w:szCs w:val="24"/>
        </w:rPr>
        <w:tab/>
        <w:t xml:space="preserve">The view of </w:t>
      </w:r>
      <w:r>
        <w:rPr>
          <w:szCs w:val="24"/>
        </w:rPr>
        <w:t xml:space="preserve">human </w:t>
      </w:r>
      <w:r w:rsidRPr="004D7B11">
        <w:rPr>
          <w:szCs w:val="24"/>
        </w:rPr>
        <w:t xml:space="preserve">solidarity has been widely criticized. </w:t>
      </w:r>
      <w:r>
        <w:rPr>
          <w:szCs w:val="24"/>
        </w:rPr>
        <w:t xml:space="preserve">One critique is foundational: it argues that there is no ontological basis for a claim to innate human solidarity. </w:t>
      </w:r>
      <w:r>
        <w:rPr>
          <w:rFonts w:eastAsia="Times New Roman"/>
          <w:szCs w:val="24"/>
        </w:rPr>
        <w:t xml:space="preserve">For example, </w:t>
      </w:r>
      <w:r w:rsidRPr="004D7B11">
        <w:rPr>
          <w:rFonts w:eastAsia="Times New Roman"/>
          <w:szCs w:val="24"/>
        </w:rPr>
        <w:t xml:space="preserve">Richard Rorty </w:t>
      </w:r>
      <w:r w:rsidRPr="004D7B11">
        <w:rPr>
          <w:rFonts w:eastAsia="Times New Roman"/>
          <w:szCs w:val="24"/>
        </w:rPr>
        <w:fldChar w:fldCharType="begin"/>
      </w:r>
      <w:r w:rsidRPr="004D7B11">
        <w:rPr>
          <w:rFonts w:eastAsia="Times New Roman"/>
          <w:szCs w:val="24"/>
        </w:rPr>
        <w:instrText xml:space="preserve"> ADDIN ZOTERO_ITEM CSL_CITATION {"citationID":"Un68PkfS","properties":{"formattedCitation":"(1989)","plainCitation":"(1989)","noteIndex":0},"citationItems":[{"id":174,"uris":["http://zotero.org/users/3096777/items/8RJS5QPS"],"uri":["http://zotero.org/users/3096777/items/8RJS5QPS"],"itemData":{"id":174,"type":"book","title":"Contingency, irony, and solidarity","publisher":"Cambridge University Press","publisher-place":"Cambridge","event-place":"Cambridge","author":[{"family":"Rorty","given":"Richard"}],"issued":{"date-parts":[["1989"]]}},"suppress-author":true}],"schema":"https://github.com/citation-style-language/schema/raw/master/csl-citation.json"} </w:instrText>
      </w:r>
      <w:r w:rsidRPr="004D7B11">
        <w:rPr>
          <w:rFonts w:eastAsia="Times New Roman"/>
          <w:szCs w:val="24"/>
        </w:rPr>
        <w:fldChar w:fldCharType="separate"/>
      </w:r>
      <w:r w:rsidRPr="004D7B11">
        <w:rPr>
          <w:rFonts w:eastAsia="Times New Roman"/>
          <w:noProof/>
          <w:szCs w:val="24"/>
        </w:rPr>
        <w:t>(1989)</w:t>
      </w:r>
      <w:r w:rsidRPr="004D7B11">
        <w:rPr>
          <w:rFonts w:eastAsia="Times New Roman"/>
          <w:szCs w:val="24"/>
        </w:rPr>
        <w:fldChar w:fldCharType="end"/>
      </w:r>
      <w:r w:rsidRPr="004D7B11">
        <w:rPr>
          <w:rFonts w:eastAsia="Times New Roman"/>
          <w:szCs w:val="24"/>
        </w:rPr>
        <w:t xml:space="preserve"> rejects commonality as the basis of solidarity, since his theory of contingent selfhood eliminates the possibility of a</w:t>
      </w:r>
      <w:r>
        <w:rPr>
          <w:rFonts w:eastAsia="Times New Roman"/>
          <w:szCs w:val="24"/>
        </w:rPr>
        <w:t>ny</w:t>
      </w:r>
      <w:r w:rsidRPr="004D7B11">
        <w:rPr>
          <w:rFonts w:eastAsia="Times New Roman"/>
          <w:szCs w:val="24"/>
        </w:rPr>
        <w:t xml:space="preserve"> core self or essential huma</w:t>
      </w:r>
      <w:r>
        <w:rPr>
          <w:rFonts w:eastAsia="Times New Roman"/>
          <w:szCs w:val="24"/>
        </w:rPr>
        <w:t>n-ness</w:t>
      </w:r>
      <w:r w:rsidRPr="004D7B11">
        <w:rPr>
          <w:rFonts w:eastAsia="Times New Roman"/>
          <w:szCs w:val="24"/>
        </w:rPr>
        <w:t xml:space="preserve">. </w:t>
      </w:r>
      <w:r>
        <w:rPr>
          <w:szCs w:val="24"/>
        </w:rPr>
        <w:t>H</w:t>
      </w:r>
      <w:r w:rsidRPr="004D7B11">
        <w:rPr>
          <w:szCs w:val="24"/>
        </w:rPr>
        <w:t xml:space="preserve">is contingent theory of selfhood means that there is no “’natural’ cut in the spectrum of similarities and differences which spans the difference between you and a dog, or you and one of Asimov’s robots – a cut which marks the end of the rational beings and the beginning of the nonrational ones” </w:t>
      </w:r>
      <w:r w:rsidRPr="004D7B11">
        <w:rPr>
          <w:szCs w:val="24"/>
        </w:rPr>
        <w:fldChar w:fldCharType="begin"/>
      </w:r>
      <w:r w:rsidRPr="004D7B11">
        <w:rPr>
          <w:szCs w:val="24"/>
        </w:rPr>
        <w:instrText xml:space="preserve"> ADDIN ZOTERO_ITEM CSL_CITATION {"citationID":"XCx44Az3","properties":{"formattedCitation":"(Rorty 1989, 192)","plainCitation":"(Rorty 1989, 192)","noteIndex":0},"citationItems":[{"id":174,"uris":["http://zotero.org/users/3096777/items/8RJS5QPS"],"uri":["http://zotero.org/users/3096777/items/8RJS5QPS"],"itemData":{"id":174,"type":"book","title":"Contingency, irony, and solidarity","publisher":"Cambridge University Press","publisher-place":"Cambridge","event-place":"Cambridge","author":[{"family":"Rorty","given":"Richard"}],"issued":{"date-parts":[["1989"]]}},"locator":"192"}],"schema":"https://github.com/citation-style-language/schema/raw/master/csl-citation.json"} </w:instrText>
      </w:r>
      <w:r w:rsidRPr="004D7B11">
        <w:rPr>
          <w:szCs w:val="24"/>
        </w:rPr>
        <w:fldChar w:fldCharType="separate"/>
      </w:r>
      <w:r w:rsidRPr="004D7B11">
        <w:rPr>
          <w:noProof/>
          <w:szCs w:val="24"/>
        </w:rPr>
        <w:t>(Rorty 1989, 192)</w:t>
      </w:r>
      <w:r w:rsidRPr="004D7B11">
        <w:rPr>
          <w:szCs w:val="24"/>
        </w:rPr>
        <w:fldChar w:fldCharType="end"/>
      </w:r>
      <w:r>
        <w:t xml:space="preserve">. Similarly, Michaele Ferguson </w:t>
      </w:r>
      <w:r>
        <w:fldChar w:fldCharType="begin"/>
      </w:r>
      <w:r>
        <w:instrText xml:space="preserve"> ADDIN ZOTERO_ITEM CSL_CITATION {"citationID":"6zORJILE","properties":{"formattedCitation":"(2012)","plainCitation":"(2012)","noteIndex":0},"citationItems":[{"id":1198,"uris":["http://zotero.org/users/3096777/items/PQ4BKEE7"],"uri":["http://zotero.org/users/3096777/items/PQ4BKEE7"],"itemData":{"id":1198,"type":"book","title":"Sharing Democracy","publisher":"Oxford University Press","publisher-place":"Oxford","event-place":"Oxford","ISBN":"978-0-19-992158-4","author":[{"family":"Ferguson","given":"Michaele L."}],"issued":{"date-parts":[["2012"]]}},"suppress-author":true}],"schema":"https://github.com/citation-style-language/schema/raw/master/csl-citation.json"} </w:instrText>
      </w:r>
      <w:r>
        <w:fldChar w:fldCharType="separate"/>
      </w:r>
      <w:r>
        <w:rPr>
          <w:noProof/>
        </w:rPr>
        <w:t>(2012)</w:t>
      </w:r>
      <w:r>
        <w:fldChar w:fldCharType="end"/>
      </w:r>
      <w:r>
        <w:t xml:space="preserve"> objects to the idea that </w:t>
      </w:r>
      <w:r w:rsidRPr="00333B34">
        <w:rPr>
          <w:szCs w:val="24"/>
        </w:rPr>
        <w:t>there is some objectively real “thing” that we all share (even though we might differ in our readings and interpretations of it)</w:t>
      </w:r>
      <w:r>
        <w:rPr>
          <w:szCs w:val="24"/>
        </w:rPr>
        <w:t>. This ontological objection urges</w:t>
      </w:r>
      <w:r w:rsidRPr="00333B34">
        <w:rPr>
          <w:szCs w:val="24"/>
        </w:rPr>
        <w:t xml:space="preserve"> us to see the world as constituted of </w:t>
      </w:r>
      <w:r>
        <w:rPr>
          <w:szCs w:val="24"/>
        </w:rPr>
        <w:t>different</w:t>
      </w:r>
      <w:r w:rsidRPr="00333B34">
        <w:rPr>
          <w:szCs w:val="24"/>
        </w:rPr>
        <w:t xml:space="preserve"> people interpreting objects differently</w:t>
      </w:r>
      <w:r>
        <w:rPr>
          <w:szCs w:val="24"/>
        </w:rPr>
        <w:t xml:space="preserve">, rather than as constituted of a single race of humans who share something special </w:t>
      </w:r>
      <w:r>
        <w:rPr>
          <w:i/>
          <w:szCs w:val="24"/>
        </w:rPr>
        <w:t>qua</w:t>
      </w:r>
      <w:r>
        <w:rPr>
          <w:szCs w:val="24"/>
        </w:rPr>
        <w:t xml:space="preserve"> humans.</w:t>
      </w:r>
    </w:p>
    <w:p w14:paraId="4EDC3FBD" w14:textId="77777777" w:rsidR="00780EE4" w:rsidRPr="00AA590F" w:rsidRDefault="00780EE4" w:rsidP="00780EE4">
      <w:pPr>
        <w:spacing w:line="480" w:lineRule="auto"/>
        <w:rPr>
          <w:szCs w:val="24"/>
        </w:rPr>
      </w:pPr>
      <w:r>
        <w:tab/>
        <w:t xml:space="preserve">Another reason we might not want a theory of solidarity based on commonality is that it is all too easy for theories of what we share to find those who do not share those characteristics </w:t>
      </w:r>
      <w:r>
        <w:lastRenderedPageBreak/>
        <w:t xml:space="preserve">and exclude them. As Nussbaum notes, it is hard to pick one vision of human life over another and that universalisms, </w:t>
      </w:r>
      <w:r w:rsidRPr="00700163">
        <w:rPr>
          <w:szCs w:val="24"/>
        </w:rPr>
        <w:t xml:space="preserve">if constructed wrongly, can exclude the oppressed </w:t>
      </w:r>
      <w:r w:rsidRPr="00700163">
        <w:rPr>
          <w:szCs w:val="24"/>
        </w:rPr>
        <w:fldChar w:fldCharType="begin"/>
      </w:r>
      <w:r w:rsidRPr="00700163">
        <w:rPr>
          <w:szCs w:val="24"/>
        </w:rPr>
        <w:instrText xml:space="preserve"> ADDIN ZOTERO_ITEM CSL_CITATION {"citationID":"cjYWubjO","properties":{"formattedCitation":"(Nussbaum 1995, 38\\uc0\\u8211{}39)","plainCitation":"(Nussbaum 1995, 38–39)","noteIndex":0},"citationItems":[{"id":978,"uris":["http://zotero.org/users/3096777/items/EDH8E9ZY"],"uri":["http://zotero.org/users/3096777/items/EDH8E9ZY"],"itemData":{"id":978,"type":"chapter","title":"Human Capabilities, Capable Human Beings","container-title":"Women, Culture, and Development: A Study of Human Capabilities","publisher":"Oxford University Press","publisher-place":"Oxford","event-place":"Oxford","author":[{"family":"Nussbaum","given":"Martha"}],"editor":[{"family":"Nussbaum","given":"Martha"},{"family":"Glover","given":"Jonathan"}],"issued":{"date-parts":[["1995"]]}},"locator":"38-39"}],"schema":"https://github.com/citation-style-language/schema/raw/master/csl-citation.json"} </w:instrText>
      </w:r>
      <w:r w:rsidRPr="00700163">
        <w:rPr>
          <w:szCs w:val="24"/>
        </w:rPr>
        <w:fldChar w:fldCharType="separate"/>
      </w:r>
      <w:r w:rsidRPr="00700163">
        <w:rPr>
          <w:color w:val="000000"/>
        </w:rPr>
        <w:t>(Nussbaum 1995, 38–39)</w:t>
      </w:r>
      <w:r w:rsidRPr="00700163">
        <w:rPr>
          <w:szCs w:val="24"/>
        </w:rPr>
        <w:fldChar w:fldCharType="end"/>
      </w:r>
      <w:r w:rsidRPr="00700163">
        <w:rPr>
          <w:szCs w:val="24"/>
        </w:rPr>
        <w:t xml:space="preserve">. </w:t>
      </w:r>
      <w:r>
        <w:rPr>
          <w:szCs w:val="24"/>
        </w:rPr>
        <w:t xml:space="preserve">Indeed, feminist scholars have been vocal in articulating the problems with liberal ideas of the human that have excluded women’s unequal reality </w:t>
      </w:r>
      <w:r>
        <w:rPr>
          <w:szCs w:val="24"/>
        </w:rPr>
        <w:fldChar w:fldCharType="begin"/>
      </w:r>
      <w:r>
        <w:rPr>
          <w:szCs w:val="24"/>
        </w:rPr>
        <w:instrText xml:space="preserve"> ADDIN ZOTERO_ITEM CSL_CITATION {"citationID":"BD4MpUVm","properties":{"formattedCitation":"(MacKinnon 1985)","plainCitation":"(MacKinnon 1985)","noteIndex":0},"citationItems":[{"id":1268,"uris":["http://zotero.org/users/3096777/items/463KDVS5"],"uri":["http://zotero.org/users/3096777/items/463KDVS5"],"itemData":{"id":1268,"type":"article-journal","title":"Pornography, Civil Rights, and Speech","container-title":"Harvard Civil Rights/Civil Liberties Law Review","page":"10-68","volume":"20","issue":"1","author":[{"family":"MacKinnon","given":"Catharine"}],"issued":{"date-parts":[["1985"]]}}}],"schema":"https://github.com/citation-style-language/schema/raw/master/csl-citation.json"} </w:instrText>
      </w:r>
      <w:r>
        <w:rPr>
          <w:szCs w:val="24"/>
        </w:rPr>
        <w:fldChar w:fldCharType="separate"/>
      </w:r>
      <w:r>
        <w:rPr>
          <w:noProof/>
          <w:szCs w:val="24"/>
        </w:rPr>
        <w:t>(MacKinnon 1985)</w:t>
      </w:r>
      <w:r>
        <w:rPr>
          <w:szCs w:val="24"/>
        </w:rPr>
        <w:fldChar w:fldCharType="end"/>
      </w:r>
      <w:r>
        <w:rPr>
          <w:szCs w:val="24"/>
        </w:rPr>
        <w:t xml:space="preserve">. </w:t>
      </w:r>
      <w:r w:rsidRPr="00700163">
        <w:rPr>
          <w:szCs w:val="24"/>
        </w:rPr>
        <w:t>As</w:t>
      </w:r>
      <w:r>
        <w:rPr>
          <w:szCs w:val="24"/>
        </w:rPr>
        <w:t xml:space="preserve"> those</w:t>
      </w:r>
      <w:r w:rsidRPr="00700163">
        <w:rPr>
          <w:szCs w:val="24"/>
        </w:rPr>
        <w:t xml:space="preserve"> who propose universal humanisms have encountered, strong and valid objections arise whenever we start talking about the “human.” Primary among these objections is how we are to define the human, and whether those defining criteria exclude or dehumanize some marginalized people, such as disabled people or racial groups whom scientific racism has historically defined as subhuman. </w:t>
      </w:r>
      <w:r>
        <w:rPr>
          <w:szCs w:val="24"/>
        </w:rPr>
        <w:t xml:space="preserve">Michaele Ferguson, similarly, objects to </w:t>
      </w:r>
      <w:r w:rsidRPr="00AA590F">
        <w:rPr>
          <w:szCs w:val="24"/>
        </w:rPr>
        <w:t xml:space="preserve">an </w:t>
      </w:r>
      <w:r w:rsidRPr="00AA590F">
        <w:rPr>
          <w:i/>
          <w:szCs w:val="24"/>
        </w:rPr>
        <w:t>objective</w:t>
      </w:r>
      <w:r w:rsidRPr="00AA590F">
        <w:rPr>
          <w:szCs w:val="24"/>
        </w:rPr>
        <w:t xml:space="preserve"> account of sharing, in which members of democratic publics have common </w:t>
      </w:r>
      <w:r w:rsidRPr="00AA590F">
        <w:rPr>
          <w:i/>
          <w:szCs w:val="24"/>
        </w:rPr>
        <w:t>characteristics</w:t>
      </w:r>
      <w:r w:rsidRPr="00AA590F">
        <w:rPr>
          <w:szCs w:val="24"/>
        </w:rPr>
        <w:t xml:space="preserve">, because this ironically creates an antidemocratic framework in which elites decide what those shared characteristics are. </w:t>
      </w:r>
    </w:p>
    <w:p w14:paraId="72860575" w14:textId="77777777" w:rsidR="00780EE4" w:rsidRDefault="00780EE4" w:rsidP="00780EE4">
      <w:pPr>
        <w:spacing w:line="480" w:lineRule="auto"/>
        <w:rPr>
          <w:rFonts w:eastAsia="Times New Roman"/>
          <w:szCs w:val="24"/>
        </w:rPr>
      </w:pPr>
      <w:r>
        <w:tab/>
        <w:t xml:space="preserve">A final reason we might object to solidarity as based on shared characteristics is pragmatic: as Rorty points out, </w:t>
      </w:r>
      <w:r w:rsidRPr="004B1C77">
        <w:rPr>
          <w:rFonts w:eastAsia="Times New Roman"/>
          <w:szCs w:val="24"/>
        </w:rPr>
        <w:t>any “us” (as implied by statements like “we are all human”) implies a “they” – and the category “human” is simply too large to be meaningful because it does not account for a “they.”</w:t>
      </w:r>
      <w:r>
        <w:rPr>
          <w:rFonts w:eastAsia="Times New Roman"/>
          <w:szCs w:val="24"/>
        </w:rPr>
        <w:t xml:space="preserve"> That is, </w:t>
      </w:r>
      <w:r w:rsidRPr="004B1C77">
        <w:rPr>
          <w:rFonts w:eastAsia="Times New Roman"/>
          <w:szCs w:val="24"/>
        </w:rPr>
        <w:t>“</w:t>
      </w:r>
      <w:r>
        <w:rPr>
          <w:rFonts w:eastAsia="Times New Roman"/>
          <w:szCs w:val="24"/>
        </w:rPr>
        <w:t>o</w:t>
      </w:r>
      <w:r w:rsidRPr="004B1C77">
        <w:rPr>
          <w:rFonts w:eastAsia="Times New Roman"/>
          <w:szCs w:val="24"/>
        </w:rPr>
        <w:t>ur</w:t>
      </w:r>
      <w:r>
        <w:rPr>
          <w:rFonts w:eastAsia="Times New Roman"/>
          <w:szCs w:val="24"/>
        </w:rPr>
        <w:t xml:space="preserve"> </w:t>
      </w:r>
      <w:r w:rsidRPr="004B1C77">
        <w:rPr>
          <w:rFonts w:eastAsia="Times New Roman"/>
          <w:szCs w:val="24"/>
        </w:rPr>
        <w:t xml:space="preserve">sense of solidarity is strongest when those with whom solidarity is expressed are thought of as ‘one of us,’ where ‘us’ means something more smaller and more local than the human race” </w:t>
      </w:r>
      <w:r w:rsidRPr="004B1C77">
        <w:rPr>
          <w:rFonts w:eastAsia="Times New Roman"/>
          <w:szCs w:val="24"/>
        </w:rPr>
        <w:fldChar w:fldCharType="begin"/>
      </w:r>
      <w:r w:rsidRPr="004B1C77">
        <w:rPr>
          <w:rFonts w:eastAsia="Times New Roman"/>
          <w:szCs w:val="24"/>
        </w:rPr>
        <w:instrText xml:space="preserve"> ADDIN ZOTERO_ITEM CSL_CITATION {"citationID":"PVLfU3w5","properties":{"formattedCitation":"(Rorty 1989, 191)","plainCitation":"(Rorty 1989, 191)","noteIndex":0},"citationItems":[{"id":174,"uris":["http://zotero.org/users/3096777/items/8RJS5QPS"],"uri":["http://zotero.org/users/3096777/items/8RJS5QPS"],"itemData":{"id":174,"type":"book","title":"Contingency, irony, and solidarity","publisher":"Cambridge University Press","publisher-place":"Cambridge","event-place":"Cambridge","author":[{"family":"Rorty","given":"Richard"}],"issued":{"date-parts":[["1989"]]}},"locator":"191"}],"schema":"https://github.com/citation-style-language/schema/raw/master/csl-citation.json"} </w:instrText>
      </w:r>
      <w:r w:rsidRPr="004B1C77">
        <w:rPr>
          <w:rFonts w:eastAsia="Times New Roman"/>
          <w:szCs w:val="24"/>
        </w:rPr>
        <w:fldChar w:fldCharType="separate"/>
      </w:r>
      <w:r w:rsidRPr="004B1C77">
        <w:rPr>
          <w:rFonts w:eastAsia="Times New Roman"/>
          <w:noProof/>
          <w:szCs w:val="24"/>
        </w:rPr>
        <w:t>(Rorty 1989, 191)</w:t>
      </w:r>
      <w:r w:rsidRPr="004B1C77">
        <w:rPr>
          <w:rFonts w:eastAsia="Times New Roman"/>
          <w:szCs w:val="24"/>
        </w:rPr>
        <w:fldChar w:fldCharType="end"/>
      </w:r>
      <w:r w:rsidRPr="004B1C77">
        <w:rPr>
          <w:rFonts w:eastAsia="Times New Roman"/>
          <w:szCs w:val="24"/>
        </w:rPr>
        <w:t>.</w:t>
      </w:r>
      <w:r>
        <w:rPr>
          <w:rStyle w:val="FootnoteReference"/>
          <w:rFonts w:eastAsia="Times New Roman"/>
          <w:szCs w:val="24"/>
        </w:rPr>
        <w:footnoteReference w:id="6"/>
      </w:r>
      <w:r w:rsidRPr="004B1C77">
        <w:rPr>
          <w:rFonts w:eastAsia="Times New Roman"/>
          <w:szCs w:val="24"/>
        </w:rPr>
        <w:t xml:space="preserve"> </w:t>
      </w:r>
      <w:r>
        <w:rPr>
          <w:rFonts w:eastAsia="Times New Roman"/>
          <w:szCs w:val="24"/>
        </w:rPr>
        <w:t xml:space="preserve">So even if we were able to get around the exclusionary and ontologically shaky aspects of commonality, we might still not be able to wrap our heads around an “us” that includes everyone. Rather, it is more feasible for individuals to find solidarity with others on shared ground, even if it is only the basic experiences we share, like losing a parent or eating breakfast. </w:t>
      </w:r>
    </w:p>
    <w:p w14:paraId="1A8C4481" w14:textId="77777777" w:rsidR="00780EE4" w:rsidRPr="008F08D9" w:rsidRDefault="00780EE4" w:rsidP="00780EE4">
      <w:pPr>
        <w:spacing w:line="480" w:lineRule="auto"/>
      </w:pPr>
      <w:r>
        <w:lastRenderedPageBreak/>
        <w:tab/>
        <w:t xml:space="preserve">I find these critiques of solidarity as commonality convincing. However, even if </w:t>
      </w:r>
      <w:r w:rsidRPr="008F08D9">
        <w:rPr>
          <w:rFonts w:eastAsia="Times New Roman"/>
          <w:szCs w:val="24"/>
        </w:rPr>
        <w:t>I could be convinced that a contingent, non-essentialist ontology actually opens up rather than forecloses the possibility of a completely inclusive human commonality, I do not think that a theory of innate human commonality is necessary for a theory of solidarity</w:t>
      </w:r>
      <w:r>
        <w:rPr>
          <w:rFonts w:eastAsia="Times New Roman"/>
          <w:szCs w:val="24"/>
        </w:rPr>
        <w:t>. Because</w:t>
      </w:r>
      <w:r w:rsidRPr="008F08D9">
        <w:rPr>
          <w:rFonts w:eastAsia="Times New Roman"/>
          <w:szCs w:val="24"/>
        </w:rPr>
        <w:t xml:space="preserve"> a theory of shared </w:t>
      </w:r>
      <w:r w:rsidRPr="008F08D9">
        <w:rPr>
          <w:rFonts w:eastAsia="Times New Roman"/>
          <w:i/>
          <w:szCs w:val="24"/>
        </w:rPr>
        <w:t>practices</w:t>
      </w:r>
      <w:r w:rsidRPr="008F08D9">
        <w:rPr>
          <w:rFonts w:eastAsia="Times New Roman"/>
          <w:szCs w:val="24"/>
        </w:rPr>
        <w:t xml:space="preserve"> is so useful as a basis for solidarity</w:t>
      </w:r>
      <w:r>
        <w:rPr>
          <w:rFonts w:eastAsia="Times New Roman"/>
          <w:szCs w:val="24"/>
        </w:rPr>
        <w:t>, we do not really need to base solidarity on shared characteristics.</w:t>
      </w:r>
    </w:p>
    <w:p w14:paraId="122CCB07" w14:textId="77777777" w:rsidR="00780EE4" w:rsidRDefault="00780EE4" w:rsidP="00780EE4"/>
    <w:p w14:paraId="6394FE5B" w14:textId="77777777" w:rsidR="007110F7" w:rsidRPr="009D26D0" w:rsidRDefault="00854B26" w:rsidP="007110F7">
      <w:pPr>
        <w:pStyle w:val="Heading2"/>
      </w:pPr>
      <w:r w:rsidRPr="009D26D0">
        <w:br/>
      </w:r>
      <w:r w:rsidR="007110F7" w:rsidRPr="009D26D0">
        <w:t>Solidarity as Common Activity</w:t>
      </w:r>
    </w:p>
    <w:p w14:paraId="65EEC5AB" w14:textId="77777777" w:rsidR="007110F7" w:rsidRDefault="007110F7" w:rsidP="007110F7"/>
    <w:p w14:paraId="14221E72" w14:textId="77777777" w:rsidR="007110F7" w:rsidRDefault="007110F7" w:rsidP="007110F7">
      <w:pPr>
        <w:spacing w:line="480" w:lineRule="auto"/>
      </w:pPr>
      <w:r>
        <w:t xml:space="preserve">I’ll turn now to a framework of solidarity as shared practices or activities. Theories of solidarity or similar concepts from Hannah Arendt, Richard Rorty, Danielle Allen, Michaele Ferguson, and Juliet Hooker emphasize praxis or activity, not commonality or shared characteristics, as the basis for political solidarity. I find these frameworks more convincing than commonality as the basis for solidarity, as I explain below. </w:t>
      </w:r>
    </w:p>
    <w:p w14:paraId="7BF6AF69" w14:textId="7A347A09" w:rsidR="007110F7" w:rsidRPr="00111530" w:rsidRDefault="007110F7" w:rsidP="007110F7">
      <w:pPr>
        <w:spacing w:line="480" w:lineRule="auto"/>
        <w:ind w:firstLine="720"/>
      </w:pPr>
      <w:r>
        <w:rPr>
          <w:rFonts w:eastAsia="Times New Roman"/>
        </w:rPr>
        <w:t xml:space="preserve">I think Hannah Arendt’s discussion of </w:t>
      </w:r>
      <w:r>
        <w:rPr>
          <w:rFonts w:eastAsia="Times New Roman"/>
          <w:i/>
        </w:rPr>
        <w:t>sensus communis</w:t>
      </w:r>
      <w:r>
        <w:rPr>
          <w:rFonts w:eastAsia="Times New Roman"/>
        </w:rPr>
        <w:t xml:space="preserve"> shares many of the characteristics of solidarity as political theorists generally understand it today: a practice of accounting for others, in public life, in a way that takes into account their differences from ourselves</w:t>
      </w:r>
      <w:r w:rsidRPr="00F4388A">
        <w:t>.</w:t>
      </w:r>
      <w:r w:rsidRPr="00F4388A">
        <w:rPr>
          <w:rStyle w:val="FootnoteReference"/>
        </w:rPr>
        <w:footnoteReference w:id="7"/>
      </w:r>
      <w:r w:rsidRPr="00F4388A">
        <w:t xml:space="preserve"> </w:t>
      </w:r>
      <w:r w:rsidRPr="00F4388A">
        <w:rPr>
          <w:rFonts w:eastAsia="Times New Roman"/>
          <w:szCs w:val="24"/>
        </w:rPr>
        <w:t xml:space="preserve">For Arendt, the things that make up what I call solidarity – the </w:t>
      </w:r>
      <w:r w:rsidRPr="00F4388A">
        <w:rPr>
          <w:rFonts w:eastAsia="Times New Roman"/>
          <w:i/>
          <w:szCs w:val="24"/>
        </w:rPr>
        <w:t>sensus communis</w:t>
      </w:r>
      <w:r w:rsidRPr="00F4388A">
        <w:rPr>
          <w:rFonts w:eastAsia="Times New Roman"/>
          <w:szCs w:val="24"/>
        </w:rPr>
        <w:t xml:space="preserve">, </w:t>
      </w:r>
      <w:r w:rsidR="00316B19" w:rsidRPr="00F4388A">
        <w:rPr>
          <w:rFonts w:eastAsia="Times New Roman"/>
          <w:szCs w:val="24"/>
        </w:rPr>
        <w:t>considering</w:t>
      </w:r>
      <w:r w:rsidRPr="00F4388A">
        <w:rPr>
          <w:rFonts w:eastAsia="Times New Roman"/>
          <w:szCs w:val="24"/>
        </w:rPr>
        <w:t xml:space="preserve"> others who are different from ourselves – </w:t>
      </w:r>
      <w:r>
        <w:rPr>
          <w:rFonts w:eastAsia="Times New Roman"/>
          <w:szCs w:val="24"/>
        </w:rPr>
        <w:t xml:space="preserve">enable </w:t>
      </w:r>
      <w:r w:rsidRPr="00F4388A">
        <w:rPr>
          <w:rFonts w:eastAsia="Times New Roman"/>
          <w:szCs w:val="24"/>
        </w:rPr>
        <w:t>citizenship in the political sphere.</w:t>
      </w:r>
      <w:r w:rsidRPr="00F4388A">
        <w:rPr>
          <w:rFonts w:eastAsia="Times New Roman"/>
        </w:rPr>
        <w:t xml:space="preserve"> Arendt’s starting point is a critique of totalitarianism and the horrors it enabled in the Second World War, and so she starts her theory of shared public life from the negative case, from the </w:t>
      </w:r>
      <w:r w:rsidRPr="00F4388A">
        <w:rPr>
          <w:rFonts w:eastAsia="Times New Roman"/>
        </w:rPr>
        <w:lastRenderedPageBreak/>
        <w:t>worst offenses of totalitarianism – isolation of people from each other and the rejection of pluralism and difference.</w:t>
      </w:r>
      <w:r>
        <w:rPr>
          <w:rFonts w:eastAsia="Times New Roman"/>
        </w:rPr>
        <w:t xml:space="preserve"> </w:t>
      </w:r>
    </w:p>
    <w:p w14:paraId="41B45198" w14:textId="77777777" w:rsidR="007110F7" w:rsidRDefault="007110F7" w:rsidP="007110F7">
      <w:pPr>
        <w:spacing w:line="480" w:lineRule="auto"/>
        <w:ind w:firstLine="720"/>
      </w:pPr>
      <w:r>
        <w:rPr>
          <w:rFonts w:eastAsia="Times New Roman"/>
        </w:rPr>
        <w:t xml:space="preserve">One of the biggest threats of totalitarianism (as well as its predecessor, modern mass society) is that it corrupts politics and misunderstands the public sphere. For Arendt, love binds us together in the private sphere, where </w:t>
      </w:r>
      <w:r w:rsidRPr="00481970">
        <w:rPr>
          <w:rFonts w:eastAsia="Times New Roman"/>
        </w:rPr>
        <w:t xml:space="preserve">emotions belong. </w:t>
      </w:r>
      <w:r w:rsidRPr="00481970">
        <w:rPr>
          <w:szCs w:val="24"/>
        </w:rPr>
        <w:t xml:space="preserve">But love cannot carry over into the public sphere; </w:t>
      </w:r>
      <w:r w:rsidRPr="00481970">
        <w:t>it</w:t>
      </w:r>
      <w:r w:rsidRPr="00481970">
        <w:rPr>
          <w:szCs w:val="24"/>
        </w:rPr>
        <w:t xml:space="preserve"> </w:t>
      </w:r>
      <w:r w:rsidRPr="00481970">
        <w:rPr>
          <w:rFonts w:eastAsia="Times New Roman"/>
          <w:szCs w:val="24"/>
        </w:rPr>
        <w:t>becomes perverted</w:t>
      </w:r>
      <w:r w:rsidRPr="00481970">
        <w:rPr>
          <w:rFonts w:eastAsia="Times New Roman"/>
        </w:rPr>
        <w:t>, misunderstood,</w:t>
      </w:r>
      <w:r w:rsidRPr="00481970">
        <w:rPr>
          <w:rFonts w:eastAsia="Times New Roman"/>
          <w:szCs w:val="24"/>
        </w:rPr>
        <w:t xml:space="preserve"> once it </w:t>
      </w:r>
      <w:r w:rsidRPr="00481970">
        <w:rPr>
          <w:rFonts w:eastAsia="Times New Roman"/>
        </w:rPr>
        <w:t>becomes</w:t>
      </w:r>
      <w:r w:rsidRPr="00481970">
        <w:rPr>
          <w:rFonts w:eastAsia="Times New Roman"/>
          <w:szCs w:val="24"/>
        </w:rPr>
        <w:t xml:space="preserve"> public</w:t>
      </w:r>
      <w:r w:rsidRPr="00481970">
        <w:rPr>
          <w:rFonts w:eastAsia="Times New Roman"/>
        </w:rPr>
        <w:t xml:space="preserve"> and thus it cannot sustain politics</w:t>
      </w:r>
      <w:r w:rsidRPr="00481970">
        <w:rPr>
          <w:rFonts w:eastAsia="Times New Roman"/>
          <w:szCs w:val="24"/>
        </w:rPr>
        <w:t>.</w:t>
      </w:r>
      <w:r w:rsidRPr="00481970">
        <w:rPr>
          <w:rFonts w:eastAsia="Times New Roman"/>
        </w:rPr>
        <w:t xml:space="preserve"> Thus</w:t>
      </w:r>
      <w:r w:rsidRPr="00481970">
        <w:rPr>
          <w:rFonts w:eastAsia="Times New Roman"/>
          <w:szCs w:val="24"/>
        </w:rPr>
        <w:t xml:space="preserve">, early Christian ideas of brotherhood replaced love as its worldly counterpart. But even Christian brotherly love was unable to carry the public realm by itself because it focused too much on the spiritual rather than the earthly world </w:t>
      </w:r>
      <w:r w:rsidRPr="00481970">
        <w:rPr>
          <w:rFonts w:eastAsia="Times New Roman"/>
          <w:szCs w:val="24"/>
        </w:rPr>
        <w:fldChar w:fldCharType="begin"/>
      </w:r>
      <w:r w:rsidRPr="00481970">
        <w:rPr>
          <w:rFonts w:eastAsia="Times New Roman"/>
          <w:szCs w:val="24"/>
        </w:rPr>
        <w:instrText xml:space="preserve"> ADDIN ZOTERO_ITEM CSL_CITATION {"citationID":"kVZxasKx","properties":{"formattedCitation":"(Arendt 1998, 53)","plainCitation":"(Arendt 1998, 53)","noteIndex":0},"citationItems":[{"id":261,"uris":["http://zotero.org/users/3096777/items/3G2ANZN9"],"uri":["http://zotero.org/users/3096777/items/3G2ANZN9"],"itemData":{"id":261,"type":"book","title":"The Human Condition","publisher":"University of Chicago Press","publisher-place":"Chicago","edition":"2nd","event-place":"Chicago","author":[{"family":"Arendt","given":"Hannah"}],"issued":{"date-parts":[["1998"]]}},"locator":"53"}],"schema":"https://github.com/citation-style-language/schema/raw/master/csl-citation.json"} </w:instrText>
      </w:r>
      <w:r w:rsidRPr="00481970">
        <w:rPr>
          <w:rFonts w:eastAsia="Times New Roman"/>
          <w:szCs w:val="24"/>
        </w:rPr>
        <w:fldChar w:fldCharType="separate"/>
      </w:r>
      <w:r w:rsidRPr="00481970">
        <w:rPr>
          <w:rFonts w:eastAsia="Times New Roman"/>
          <w:noProof/>
          <w:szCs w:val="24"/>
        </w:rPr>
        <w:t>(Arendt 1998, 53)</w:t>
      </w:r>
      <w:r w:rsidRPr="00481970">
        <w:rPr>
          <w:rFonts w:eastAsia="Times New Roman"/>
          <w:szCs w:val="24"/>
        </w:rPr>
        <w:fldChar w:fldCharType="end"/>
      </w:r>
      <w:r w:rsidRPr="00481970">
        <w:rPr>
          <w:rFonts w:eastAsia="Times New Roman"/>
          <w:szCs w:val="24"/>
        </w:rPr>
        <w:t>.</w:t>
      </w:r>
      <w:r>
        <w:rPr>
          <w:rFonts w:eastAsia="Times New Roman"/>
        </w:rPr>
        <w:t xml:space="preserve"> One of mass society’s biggest mista</w:t>
      </w:r>
      <w:r w:rsidRPr="00481970">
        <w:rPr>
          <w:rFonts w:eastAsia="Times New Roman"/>
        </w:rPr>
        <w:t xml:space="preserve">kes is its misperception that society is or should be like a family. This causes a privatization of the public by thinking of it as subject to the same rules as the private realm </w:t>
      </w:r>
      <w:r w:rsidRPr="00481970">
        <w:rPr>
          <w:rFonts w:eastAsia="Times New Roman"/>
        </w:rPr>
        <w:fldChar w:fldCharType="begin"/>
      </w:r>
      <w:r w:rsidRPr="00481970">
        <w:rPr>
          <w:rFonts w:eastAsia="Times New Roman"/>
        </w:rPr>
        <w:instrText xml:space="preserve"> ADDIN ZOTERO_ITEM CSL_CITATION {"citationID":"wXYbSjVD","properties":{"formattedCitation":"(Arendt 1998, 57)","plainCitation":"(Arendt 1998, 57)","noteIndex":0},"citationItems":[{"id":261,"uris":["http://zotero.org/users/3096777/items/3G2ANZN9"],"uri":["http://zotero.org/users/3096777/items/3G2ANZN9"],"itemData":{"id":261,"type":"book","title":"The Human Condition","publisher":"University of Chicago Press","publisher-place":"Chicago","edition":"2nd","event-place":"Chicago","author":[{"family":"Arendt","given":"Hannah"}],"issued":{"date-parts":[["1998"]]}},"locator":"57"}],"schema":"https://github.com/citation-style-language/schema/raw/master/csl-citation.json"} </w:instrText>
      </w:r>
      <w:r w:rsidRPr="00481970">
        <w:rPr>
          <w:rFonts w:eastAsia="Times New Roman"/>
        </w:rPr>
        <w:fldChar w:fldCharType="separate"/>
      </w:r>
      <w:r w:rsidRPr="00481970">
        <w:rPr>
          <w:rFonts w:eastAsia="Times New Roman"/>
          <w:noProof/>
        </w:rPr>
        <w:t>(Arendt 1998, 57)</w:t>
      </w:r>
      <w:r w:rsidRPr="00481970">
        <w:rPr>
          <w:rFonts w:eastAsia="Times New Roman"/>
        </w:rPr>
        <w:fldChar w:fldCharType="end"/>
      </w:r>
      <w:r w:rsidRPr="00481970">
        <w:rPr>
          <w:rFonts w:eastAsia="Times New Roman"/>
        </w:rPr>
        <w:t xml:space="preserve">. Taken too far, this privatization becomes an exclusionary, protectionist politics </w:t>
      </w:r>
      <w:r>
        <w:rPr>
          <w:rFonts w:eastAsia="Times New Roman"/>
        </w:rPr>
        <w:t xml:space="preserve">that views the </w:t>
      </w:r>
      <w:r w:rsidRPr="00481970">
        <w:rPr>
          <w:rFonts w:eastAsia="Times New Roman"/>
        </w:rPr>
        <w:t xml:space="preserve">nation </w:t>
      </w:r>
      <w:r>
        <w:rPr>
          <w:rFonts w:eastAsia="Times New Roman"/>
        </w:rPr>
        <w:t>as a</w:t>
      </w:r>
      <w:r w:rsidRPr="00481970">
        <w:rPr>
          <w:rFonts w:eastAsia="Times New Roman"/>
        </w:rPr>
        <w:t xml:space="preserve"> family that must be protected from the outside and purged from the inside. This is totalitarianism.</w:t>
      </w:r>
    </w:p>
    <w:p w14:paraId="3DAB1733" w14:textId="6A41AF21" w:rsidR="007110F7" w:rsidRPr="00111530" w:rsidRDefault="007110F7" w:rsidP="007110F7">
      <w:pPr>
        <w:spacing w:line="480" w:lineRule="auto"/>
        <w:ind w:firstLine="720"/>
        <w:rPr>
          <w:rFonts w:eastAsia="Times New Roman"/>
        </w:rPr>
      </w:pPr>
      <w:r w:rsidRPr="00F4388A">
        <w:rPr>
          <w:rFonts w:eastAsia="Times New Roman"/>
          <w:szCs w:val="24"/>
        </w:rPr>
        <w:t xml:space="preserve">So in the public sphere, we cannot rely on love. Instead, </w:t>
      </w:r>
      <w:r w:rsidRPr="00F4388A">
        <w:rPr>
          <w:rFonts w:eastAsia="Times New Roman"/>
        </w:rPr>
        <w:t>Arendt</w:t>
      </w:r>
      <w:r w:rsidRPr="00F4388A">
        <w:rPr>
          <w:rFonts w:eastAsia="Times New Roman"/>
          <w:szCs w:val="24"/>
        </w:rPr>
        <w:t xml:space="preserve"> forwards a Kantian idea of common sense – </w:t>
      </w:r>
      <w:r w:rsidRPr="00F4388A">
        <w:rPr>
          <w:rFonts w:eastAsia="Times New Roman"/>
          <w:i/>
          <w:szCs w:val="24"/>
        </w:rPr>
        <w:t>sensus communis</w:t>
      </w:r>
      <w:r w:rsidRPr="00F4388A">
        <w:rPr>
          <w:rFonts w:eastAsia="Times New Roman"/>
          <w:szCs w:val="24"/>
        </w:rPr>
        <w:t xml:space="preserve"> – that includes thinking “in the place of everybody else… claim[ing] assent from others because in judging he has already taken them into account and hence hopes that his judgments will carry a certain general, though perhaps not universal, validity.” This validity, importantly, will only “reach as far as the community of which my common sense makes me a member,” which may be a specific group of people or may be, as for Kant, all humankind </w:t>
      </w:r>
      <w:r w:rsidRPr="00F4388A">
        <w:rPr>
          <w:rFonts w:eastAsia="Times New Roman"/>
          <w:szCs w:val="24"/>
        </w:rPr>
        <w:fldChar w:fldCharType="begin"/>
      </w:r>
      <w:r w:rsidRPr="00F4388A">
        <w:rPr>
          <w:rFonts w:eastAsia="Times New Roman"/>
          <w:szCs w:val="24"/>
        </w:rPr>
        <w:instrText xml:space="preserve"> ADDIN ZOTERO_ITEM CSL_CITATION {"citationID":"PLN4DIMp","properties":{"formattedCitation":"(Arendt 1966, 140)","plainCitation":"(Arendt 1966, 140)","noteIndex":0},"citationItems":[{"id":276,"uris":["http://zotero.org/users/3096777/items/UNSHLL4B"],"uri":["http://zotero.org/users/3096777/items/UNSHLL4B"],"itemData":{"id":276,"type":"chapter","title":"Some Questions of Moral Philosophy","container-title":"Responsibility and Judgment","publisher":"Random House","publisher-place":"New York","page":"49-146","event-place":"New York","author":[{"family":"Arendt","given":"Hannah"}],"editor":[{"family":"Jerome Kohn","given":""}],"issued":{"date-parts":[["1966"]]}},"locator":"140"}],"schema":"https://github.com/citation-style-language/schema/raw/master/csl-citation.json"} </w:instrText>
      </w:r>
      <w:r w:rsidRPr="00F4388A">
        <w:rPr>
          <w:rFonts w:eastAsia="Times New Roman"/>
          <w:szCs w:val="24"/>
        </w:rPr>
        <w:fldChar w:fldCharType="separate"/>
      </w:r>
      <w:r w:rsidRPr="00F4388A">
        <w:rPr>
          <w:rFonts w:eastAsia="Times New Roman"/>
          <w:noProof/>
          <w:szCs w:val="24"/>
        </w:rPr>
        <w:t>(Arendt 1966, 140)</w:t>
      </w:r>
      <w:r w:rsidRPr="00F4388A">
        <w:rPr>
          <w:rFonts w:eastAsia="Times New Roman"/>
          <w:szCs w:val="24"/>
        </w:rPr>
        <w:fldChar w:fldCharType="end"/>
      </w:r>
      <w:r w:rsidRPr="00F4388A">
        <w:rPr>
          <w:rFonts w:eastAsia="Times New Roman"/>
          <w:szCs w:val="24"/>
        </w:rPr>
        <w:t>.</w:t>
      </w:r>
      <w:r w:rsidRPr="00F4388A">
        <w:rPr>
          <w:rFonts w:eastAsia="Times New Roman"/>
        </w:rPr>
        <w:t xml:space="preserve"> </w:t>
      </w:r>
      <w:r>
        <w:rPr>
          <w:rFonts w:eastAsia="Times New Roman"/>
        </w:rPr>
        <w:t>T</w:t>
      </w:r>
      <w:r w:rsidRPr="00F4388A">
        <w:rPr>
          <w:rFonts w:eastAsia="Times New Roman"/>
          <w:szCs w:val="24"/>
        </w:rPr>
        <w:t xml:space="preserve">otalitarian government destroys human life, both public and private, by basing itself “on loneliness, on the experience of not belonging to the world at all, which is among the most radical and desperate experiences of man” </w:t>
      </w:r>
      <w:r>
        <w:rPr>
          <w:rFonts w:eastAsia="Times New Roman"/>
        </w:rPr>
        <w:fldChar w:fldCharType="begin"/>
      </w:r>
      <w:r w:rsidR="0059457C">
        <w:rPr>
          <w:rFonts w:eastAsia="Times New Roman"/>
        </w:rPr>
        <w:instrText xml:space="preserve"> ADDIN ZOTERO_ITEM CSL_CITATION {"citationID":"w5NV912V","properties":{"formattedCitation":"(Arendt 1951, 475)","plainCitation":"(Arendt 1951, 475)","noteIndex":0},"citationItems":[{"id":255,"uris":["http://zotero.org/users/3096777/items/6RAUUQFU"],"uri":["http://zotero.org/users/3096777/items/6RAUUQFU"],"itemData":{"id":255,"type":"book","title":"The Origins of Totalitarianism","publisher":"Meridian Books","publisher-place":"New York","event-place":"New York","author":[{"family":"Arendt","given":"Hannah"}],"issued":{"date-parts":[["1951"]]}},"locator":"475"}],"schema":"https://github.com/citation-style-language/schema/raw/master/csl-citation.json"} </w:instrText>
      </w:r>
      <w:r>
        <w:rPr>
          <w:rFonts w:eastAsia="Times New Roman"/>
        </w:rPr>
        <w:fldChar w:fldCharType="separate"/>
      </w:r>
      <w:r w:rsidR="0059457C">
        <w:rPr>
          <w:rFonts w:eastAsia="Times New Roman"/>
          <w:noProof/>
        </w:rPr>
        <w:t xml:space="preserve">(Arendt 1951, </w:t>
      </w:r>
      <w:r w:rsidR="0059457C">
        <w:rPr>
          <w:rFonts w:eastAsia="Times New Roman"/>
          <w:noProof/>
        </w:rPr>
        <w:lastRenderedPageBreak/>
        <w:t>475)</w:t>
      </w:r>
      <w:r>
        <w:rPr>
          <w:rFonts w:eastAsia="Times New Roman"/>
        </w:rPr>
        <w:fldChar w:fldCharType="end"/>
      </w:r>
      <w:r w:rsidRPr="00F4388A">
        <w:rPr>
          <w:rFonts w:eastAsia="Times New Roman"/>
          <w:szCs w:val="24"/>
        </w:rPr>
        <w:t xml:space="preserve">. </w:t>
      </w:r>
      <w:r>
        <w:rPr>
          <w:rFonts w:eastAsia="Times New Roman"/>
        </w:rPr>
        <w:t xml:space="preserve">But </w:t>
      </w:r>
      <w:r>
        <w:rPr>
          <w:rFonts w:eastAsia="Times New Roman"/>
          <w:i/>
        </w:rPr>
        <w:t>sensus communis</w:t>
      </w:r>
      <w:r>
        <w:rPr>
          <w:rFonts w:eastAsia="Times New Roman"/>
        </w:rPr>
        <w:t xml:space="preserve"> fights loneliness and brings people together through imagination and perception. </w:t>
      </w:r>
      <w:r>
        <w:rPr>
          <w:rFonts w:eastAsia="Times New Roman"/>
          <w:szCs w:val="24"/>
        </w:rPr>
        <w:t>Totalitarianism</w:t>
      </w:r>
      <w:r w:rsidRPr="00F4388A">
        <w:rPr>
          <w:rFonts w:eastAsia="Times New Roman"/>
          <w:szCs w:val="24"/>
        </w:rPr>
        <w:t xml:space="preserve"> makes humans superfluous and uproots them from others, which is fatal because “[e]ven the experience of the materially and sensually given world depends upon my being in contact with other men, upon our </w:t>
      </w:r>
      <w:r w:rsidRPr="00F4388A">
        <w:rPr>
          <w:rFonts w:eastAsia="Times New Roman"/>
          <w:i/>
          <w:szCs w:val="24"/>
        </w:rPr>
        <w:t>common sense</w:t>
      </w:r>
      <w:r w:rsidRPr="00F4388A">
        <w:rPr>
          <w:rFonts w:eastAsia="Times New Roman"/>
          <w:szCs w:val="24"/>
        </w:rPr>
        <w:t xml:space="preserve"> which regulates and controls all other senses and without which each of us would be enclosed in his own particularity of sense data” </w:t>
      </w:r>
      <w:r>
        <w:rPr>
          <w:rFonts w:eastAsia="Times New Roman"/>
        </w:rPr>
        <w:fldChar w:fldCharType="begin"/>
      </w:r>
      <w:r w:rsidR="0059457C">
        <w:rPr>
          <w:rFonts w:eastAsia="Times New Roman"/>
        </w:rPr>
        <w:instrText xml:space="preserve"> ADDIN ZOTERO_ITEM CSL_CITATION {"citationID":"BLnU3NN4","properties":{"formattedCitation":"(Arendt 1951, 475\\uc0\\u8211{}76)","plainCitation":"(Arendt 1951, 475–76)","noteIndex":0},"citationItems":[{"id":255,"uris":["http://zotero.org/users/3096777/items/6RAUUQFU"],"uri":["http://zotero.org/users/3096777/items/6RAUUQFU"],"itemData":{"id":255,"type":"book","title":"The Origins of Totalitarianism","publisher":"Meridian Books","publisher-place":"New York","event-place":"New York","author":[{"family":"Arendt","given":"Hannah"}],"issued":{"date-parts":[["1951"]]}},"locator":"475-476"}],"schema":"https://github.com/citation-style-language/schema/raw/master/csl-citation.json"} </w:instrText>
      </w:r>
      <w:r>
        <w:rPr>
          <w:rFonts w:eastAsia="Times New Roman"/>
        </w:rPr>
        <w:fldChar w:fldCharType="separate"/>
      </w:r>
      <w:r w:rsidR="0059457C" w:rsidRPr="0059457C">
        <w:rPr>
          <w:color w:val="000000"/>
        </w:rPr>
        <w:t>(Arendt 1951, 475–76)</w:t>
      </w:r>
      <w:r>
        <w:rPr>
          <w:rFonts w:eastAsia="Times New Roman"/>
        </w:rPr>
        <w:fldChar w:fldCharType="end"/>
      </w:r>
      <w:r w:rsidRPr="00F4388A">
        <w:rPr>
          <w:rFonts w:eastAsia="Times New Roman"/>
          <w:szCs w:val="24"/>
        </w:rPr>
        <w:t>.</w:t>
      </w:r>
      <w:r>
        <w:rPr>
          <w:rFonts w:eastAsia="Times New Roman"/>
        </w:rPr>
        <w:t xml:space="preserve"> This is not only alienating but also a kind of falsehood: </w:t>
      </w:r>
      <w:r w:rsidRPr="00F4388A">
        <w:rPr>
          <w:rFonts w:eastAsia="Times New Roman"/>
          <w:szCs w:val="24"/>
        </w:rPr>
        <w:t xml:space="preserve">the totalitarian state’s “disregard for facts, its strict adherence to the rules of a fictitious world” </w:t>
      </w:r>
      <w:r>
        <w:rPr>
          <w:rFonts w:eastAsia="Times New Roman"/>
        </w:rPr>
        <w:fldChar w:fldCharType="begin"/>
      </w:r>
      <w:r w:rsidR="0059457C">
        <w:rPr>
          <w:rFonts w:eastAsia="Times New Roman"/>
        </w:rPr>
        <w:instrText xml:space="preserve"> ADDIN ZOTERO_ITEM CSL_CITATION {"citationID":"GsMqFm1e","properties":{"formattedCitation":"(Arendt 1951, 391\\uc0\\u8211{}92)","plainCitation":"(Arendt 1951, 391–92)","noteIndex":0},"citationItems":[{"id":255,"uris":["http://zotero.org/users/3096777/items/6RAUUQFU"],"uri":["http://zotero.org/users/3096777/items/6RAUUQFU"],"itemData":{"id":255,"type":"book","title":"The Origins of Totalitarianism","publisher":"Meridian Books","publisher-place":"New York","event-place":"New York","author":[{"family":"Arendt","given":"Hannah"}],"issued":{"date-parts":[["1951"]]}},"locator":"391-392"}],"schema":"https://github.com/citation-style-language/schema/raw/master/csl-citation.json"} </w:instrText>
      </w:r>
      <w:r>
        <w:rPr>
          <w:rFonts w:eastAsia="Times New Roman"/>
        </w:rPr>
        <w:fldChar w:fldCharType="separate"/>
      </w:r>
      <w:r w:rsidR="0059457C" w:rsidRPr="0059457C">
        <w:rPr>
          <w:color w:val="000000"/>
        </w:rPr>
        <w:t>(Arendt 1951, 391–92)</w:t>
      </w:r>
      <w:r>
        <w:rPr>
          <w:rFonts w:eastAsia="Times New Roman"/>
        </w:rPr>
        <w:fldChar w:fldCharType="end"/>
      </w:r>
      <w:r>
        <w:rPr>
          <w:rFonts w:eastAsia="Times New Roman"/>
        </w:rPr>
        <w:t>, and</w:t>
      </w:r>
      <w:r w:rsidRPr="00F4388A">
        <w:rPr>
          <w:rFonts w:eastAsia="Times New Roman"/>
          <w:szCs w:val="24"/>
        </w:rPr>
        <w:t xml:space="preserve"> its “insanity” </w:t>
      </w:r>
      <w:r>
        <w:rPr>
          <w:rFonts w:eastAsia="Times New Roman"/>
        </w:rPr>
        <w:fldChar w:fldCharType="begin"/>
      </w:r>
      <w:r w:rsidR="0059457C">
        <w:rPr>
          <w:rFonts w:eastAsia="Times New Roman"/>
        </w:rPr>
        <w:instrText xml:space="preserve"> ADDIN ZOTERO_ITEM CSL_CITATION {"citationID":"JPgZzM3R","properties":{"formattedCitation":"(Arendt 1951, 411)","plainCitation":"(Arendt 1951, 411)","noteIndex":0},"citationItems":[{"id":255,"uris":["http://zotero.org/users/3096777/items/6RAUUQFU"],"uri":["http://zotero.org/users/3096777/items/6RAUUQFU"],"itemData":{"id":255,"type":"book","title":"The Origins of Totalitarianism","publisher":"Meridian Books","publisher-place":"New York","event-place":"New York","author":[{"family":"Arendt","given":"Hannah"}],"issued":{"date-parts":[["1951"]]}},"locator":"411"}],"schema":"https://github.com/citation-style-language/schema/raw/master/csl-citation.json"} </w:instrText>
      </w:r>
      <w:r>
        <w:rPr>
          <w:rFonts w:eastAsia="Times New Roman"/>
        </w:rPr>
        <w:fldChar w:fldCharType="separate"/>
      </w:r>
      <w:r w:rsidR="0059457C">
        <w:rPr>
          <w:color w:val="000000"/>
        </w:rPr>
        <w:t>(Arendt 1951, 411)</w:t>
      </w:r>
      <w:r>
        <w:rPr>
          <w:rFonts w:eastAsia="Times New Roman"/>
        </w:rPr>
        <w:fldChar w:fldCharType="end"/>
      </w:r>
      <w:r>
        <w:rPr>
          <w:rFonts w:eastAsia="Times New Roman"/>
        </w:rPr>
        <w:t>,</w:t>
      </w:r>
      <w:r w:rsidRPr="00F4388A">
        <w:rPr>
          <w:rFonts w:eastAsia="Times New Roman"/>
          <w:szCs w:val="24"/>
        </w:rPr>
        <w:t xml:space="preserve"> </w:t>
      </w:r>
      <w:r>
        <w:rPr>
          <w:rFonts w:eastAsia="Times New Roman"/>
        </w:rPr>
        <w:t>are</w:t>
      </w:r>
      <w:r w:rsidRPr="00F4388A">
        <w:rPr>
          <w:rFonts w:eastAsia="Times New Roman"/>
          <w:szCs w:val="24"/>
        </w:rPr>
        <w:t xml:space="preserve"> attributable to its “murder of the moral person” and </w:t>
      </w:r>
      <w:r>
        <w:rPr>
          <w:rFonts w:eastAsia="Times New Roman"/>
          <w:szCs w:val="24"/>
        </w:rPr>
        <w:t xml:space="preserve">its </w:t>
      </w:r>
      <w:r w:rsidRPr="00F4388A">
        <w:rPr>
          <w:rFonts w:eastAsia="Times New Roman"/>
          <w:szCs w:val="24"/>
        </w:rPr>
        <w:t xml:space="preserve">“destruction of the individuality” </w:t>
      </w:r>
      <w:r>
        <w:rPr>
          <w:rFonts w:eastAsia="Times New Roman"/>
        </w:rPr>
        <w:fldChar w:fldCharType="begin"/>
      </w:r>
      <w:r w:rsidR="0059457C">
        <w:rPr>
          <w:rFonts w:eastAsia="Times New Roman"/>
        </w:rPr>
        <w:instrText xml:space="preserve"> ADDIN ZOTERO_ITEM CSL_CITATION {"citationID":"7CgB9xkG","properties":{"formattedCitation":"(Arendt 1951, 455)","plainCitation":"(Arendt 1951, 455)","noteIndex":0},"citationItems":[{"id":255,"uris":["http://zotero.org/users/3096777/items/6RAUUQFU"],"uri":["http://zotero.org/users/3096777/items/6RAUUQFU"],"itemData":{"id":255,"type":"book","title":"The Origins of Totalitarianism","publisher":"Meridian Books","publisher-place":"New York","event-place":"New York","author":[{"family":"Arendt","given":"Hannah"}],"issued":{"date-parts":[["1951"]]}},"locator":"455"}],"schema":"https://github.com/citation-style-language/schema/raw/master/csl-citation.json"} </w:instrText>
      </w:r>
      <w:r>
        <w:rPr>
          <w:rFonts w:eastAsia="Times New Roman"/>
        </w:rPr>
        <w:fldChar w:fldCharType="separate"/>
      </w:r>
      <w:r w:rsidR="0059457C">
        <w:rPr>
          <w:color w:val="000000"/>
        </w:rPr>
        <w:t>(Arendt 1951, 455)</w:t>
      </w:r>
      <w:r>
        <w:rPr>
          <w:rFonts w:eastAsia="Times New Roman"/>
        </w:rPr>
        <w:fldChar w:fldCharType="end"/>
      </w:r>
      <w:r>
        <w:rPr>
          <w:rFonts w:eastAsia="Times New Roman"/>
        </w:rPr>
        <w:t xml:space="preserve">. Arendt wants us to use our common sense to fight these tendencies that allow totalitarian politics and violence to flourish. </w:t>
      </w:r>
    </w:p>
    <w:p w14:paraId="67A5D757" w14:textId="26A59120" w:rsidR="007110F7" w:rsidRDefault="007110F7" w:rsidP="007110F7">
      <w:pPr>
        <w:spacing w:line="480" w:lineRule="auto"/>
        <w:ind w:firstLine="720"/>
        <w:rPr>
          <w:rFonts w:eastAsia="Times New Roman"/>
        </w:rPr>
      </w:pPr>
      <w:r>
        <w:rPr>
          <w:rFonts w:eastAsia="Times New Roman"/>
        </w:rPr>
        <w:t xml:space="preserve">Aside from connecting people through perception, </w:t>
      </w:r>
      <w:r>
        <w:rPr>
          <w:rFonts w:eastAsia="Times New Roman"/>
          <w:i/>
        </w:rPr>
        <w:t>sensus communis</w:t>
      </w:r>
      <w:r>
        <w:rPr>
          <w:rFonts w:eastAsia="Times New Roman"/>
        </w:rPr>
        <w:t xml:space="preserve"> is also important for our discussion of solidarity because it embraces plurality and difference </w:t>
      </w:r>
      <w:r w:rsidRPr="00F4388A">
        <w:rPr>
          <w:szCs w:val="24"/>
        </w:rPr>
        <w:fldChar w:fldCharType="begin"/>
      </w:r>
      <w:r w:rsidR="0059457C">
        <w:instrText xml:space="preserve"> ADDIN ZOTERO_ITEM CSL_CITATION {"citationID":"ZUvnTPzw","properties":{"formattedCitation":"(Arendt 2006, 221, 1951, 476)","plainCitation":"(Arendt 2006, 221, 1951, 476)","noteIndex":0},"citationItems":[{"id":1240,"uris":["http://zotero.org/users/3096777/items/VZ7FXCJW"],"uri":["http://zotero.org/users/3096777/items/VZ7FXCJW"],"itemData":{"id":1240,"type":"book","title":"Between Past and Future","publisher":"Penguin Classics","publisher-place":"New York","number-of-pages":"320","source":"Amazon","event-place":"New York","abstract":"From the author of Eichmann in Jerusalem and The Origins of Totalitarianism, “a book to think with through the political impasses and cultural confusions of our day” (Harper’s Magazine)   Hannah Arendt’s insightful observations of the modern world, based on a profound knowledge of the past, constitute an impassioned contribution to political philosophy. In Between Past and Future Arendt describes the perplexing crises modern society faces as a result of the loss of meaning of the traditional key words of politics: justice, reason, responsibility, virtue, and glory. Through a series of eight exercises, she shows how we can redistill the vital essence of these concepts and use them to regain a frame of reference for the future. To participate in these exercises is to associate, in action, with one of the most original and fruitful minds of the twentieth century.","language":"English","author":[{"family":"Arendt","given":"Hannah"}],"issued":{"date-parts":[["2006"]]}},"locator":"221"},{"id":255,"uris":["http://zotero.org/users/3096777/items/6RAUUQFU"],"uri":["http://zotero.org/users/3096777/items/6RAUUQFU"],"itemData":{"id":255,"type":"book","title":"The Origins of Totalitarianism","publisher":"Meridian Books","publisher-place":"New York","event-place":"New York","author":[{"family":"Arendt","given":"Hannah"}],"issued":{"date-parts":[["1951"]]}},"locator":"476"}],"schema":"https://github.com/citation-style-language/schema/raw/master/csl-citation.json"} </w:instrText>
      </w:r>
      <w:r w:rsidRPr="00F4388A">
        <w:rPr>
          <w:szCs w:val="24"/>
        </w:rPr>
        <w:fldChar w:fldCharType="separate"/>
      </w:r>
      <w:r w:rsidR="0059457C">
        <w:rPr>
          <w:noProof/>
        </w:rPr>
        <w:t>(Arendt 2006, 221, 1951, 476)</w:t>
      </w:r>
      <w:r w:rsidRPr="00F4388A">
        <w:rPr>
          <w:szCs w:val="24"/>
        </w:rPr>
        <w:fldChar w:fldCharType="end"/>
      </w:r>
      <w:r w:rsidRPr="00F4388A">
        <w:rPr>
          <w:szCs w:val="24"/>
        </w:rPr>
        <w:t>.</w:t>
      </w:r>
      <w:r>
        <w:t xml:space="preserve"> Difference is a basic fact of the world, as individuals share the world as common ground but still occupy their own locations in that world </w:t>
      </w:r>
      <w:r>
        <w:fldChar w:fldCharType="begin"/>
      </w:r>
      <w:r>
        <w:instrText xml:space="preserve"> ADDIN ZOTERO_ITEM CSL_CITATION {"citationID":"rPmLnARi","properties":{"formattedCitation":"(Arendt 1998, 57)","plainCitation":"(Arendt 1998, 57)","noteIndex":0},"citationItems":[{"id":261,"uris":["http://zotero.org/users/3096777/items/3G2ANZN9"],"uri":["http://zotero.org/users/3096777/items/3G2ANZN9"],"itemData":{"id":261,"type":"book","title":"The Human Condition","publisher":"University of Chicago Press","publisher-place":"Chicago","edition":"2nd","event-place":"Chicago","author":[{"family":"Arendt","given":"Hannah"}],"issued":{"date-parts":[["1998"]]}},"locator":"57"}],"schema":"https://github.com/citation-style-language/schema/raw/master/csl-citation.json"} </w:instrText>
      </w:r>
      <w:r>
        <w:fldChar w:fldCharType="separate"/>
      </w:r>
      <w:r>
        <w:rPr>
          <w:noProof/>
        </w:rPr>
        <w:t>(Arendt 1998, 57)</w:t>
      </w:r>
      <w:r>
        <w:fldChar w:fldCharType="end"/>
      </w:r>
      <w:r>
        <w:t xml:space="preserve">. </w:t>
      </w:r>
      <w:r w:rsidRPr="0057024B">
        <w:rPr>
          <w:szCs w:val="24"/>
        </w:rPr>
        <w:t xml:space="preserve">For Arendt, “It is out of pity that men are ‘attracted toward </w:t>
      </w:r>
      <w:r w:rsidRPr="0057024B">
        <w:rPr>
          <w:i/>
          <w:szCs w:val="24"/>
        </w:rPr>
        <w:t>les hommes faibles</w:t>
      </w:r>
      <w:r w:rsidRPr="0057024B">
        <w:rPr>
          <w:szCs w:val="24"/>
        </w:rPr>
        <w:t>’, but it is out of solidarity that they establish deliberately and, as it were, dispassionately a community of interest with the oppressed and exploited”</w:t>
      </w:r>
      <w:r>
        <w:t xml:space="preserve"> </w:t>
      </w:r>
      <w:r w:rsidRPr="0057024B">
        <w:rPr>
          <w:szCs w:val="24"/>
        </w:rPr>
        <w:fldChar w:fldCharType="begin"/>
      </w:r>
      <w:r>
        <w:rPr>
          <w:szCs w:val="24"/>
        </w:rPr>
        <w:instrText xml:space="preserve"> ADDIN ZOTERO_ITEM CSL_CITATION {"citationID":"wFvru7UA","properties":{"formattedCitation":"(Arendt 1963b, 88)","plainCitation":"(Arendt 1963b, 88)","noteIndex":0},"citationItems":[{"id":977,"uris":["http://zotero.org/users/3096777/items/FEN8EYKZ"],"uri":["http://zotero.org/users/3096777/items/FEN8EYKZ"],"itemData":{"id":977,"type":"book","title":"On Revolution","publisher":"Penguin Books","publisher-place":"New York","event-place":"New York","author":[{"family":"Arendt","given":"Hannah"}],"issued":{"date-parts":[["1963"]]}},"locator":"88"}],"schema":"https://github.com/citation-style-language/schema/raw/master/csl-citation.json"} </w:instrText>
      </w:r>
      <w:r w:rsidRPr="0057024B">
        <w:rPr>
          <w:szCs w:val="24"/>
        </w:rPr>
        <w:fldChar w:fldCharType="separate"/>
      </w:r>
      <w:r>
        <w:rPr>
          <w:noProof/>
          <w:szCs w:val="24"/>
        </w:rPr>
        <w:t>(Arendt 1963b, 88)</w:t>
      </w:r>
      <w:r w:rsidRPr="0057024B">
        <w:rPr>
          <w:szCs w:val="24"/>
        </w:rPr>
        <w:fldChar w:fldCharType="end"/>
      </w:r>
      <w:r>
        <w:t xml:space="preserve">. Thus, solidarity includes an acceptance of difference, including those in subordinate groups. In her </w:t>
      </w:r>
      <w:r w:rsidRPr="00F4388A">
        <w:rPr>
          <w:rFonts w:eastAsia="Times New Roman"/>
          <w:szCs w:val="24"/>
        </w:rPr>
        <w:t xml:space="preserve">imaginary condemnation of </w:t>
      </w:r>
      <w:r>
        <w:rPr>
          <w:rFonts w:eastAsia="Times New Roman"/>
        </w:rPr>
        <w:t xml:space="preserve">Adolf </w:t>
      </w:r>
      <w:r w:rsidRPr="00F4388A">
        <w:rPr>
          <w:rFonts w:eastAsia="Times New Roman"/>
          <w:szCs w:val="24"/>
        </w:rPr>
        <w:t>Eichmann</w:t>
      </w:r>
      <w:r>
        <w:rPr>
          <w:rFonts w:eastAsia="Times New Roman"/>
        </w:rPr>
        <w:t>, she</w:t>
      </w:r>
      <w:r w:rsidRPr="00F4388A">
        <w:rPr>
          <w:rFonts w:eastAsia="Times New Roman"/>
          <w:szCs w:val="24"/>
        </w:rPr>
        <w:t xml:space="preserve"> indicts the Nazi primarily for his crime against humanity – that is, his crime against the plural</w:t>
      </w:r>
      <w:r>
        <w:rPr>
          <w:rFonts w:eastAsia="Times New Roman"/>
          <w:szCs w:val="24"/>
        </w:rPr>
        <w:t xml:space="preserve">istic nature of </w:t>
      </w:r>
      <w:r w:rsidRPr="00F4388A">
        <w:rPr>
          <w:rFonts w:eastAsia="Times New Roman"/>
          <w:szCs w:val="24"/>
        </w:rPr>
        <w:t>humanity</w:t>
      </w:r>
      <w:r>
        <w:rPr>
          <w:rFonts w:eastAsia="Times New Roman"/>
          <w:szCs w:val="24"/>
        </w:rPr>
        <w:t xml:space="preserve">. Arendt condemns Eichmann because he </w:t>
      </w:r>
      <w:r w:rsidRPr="00F4388A">
        <w:rPr>
          <w:rFonts w:eastAsia="Times New Roman"/>
          <w:szCs w:val="24"/>
        </w:rPr>
        <w:t xml:space="preserve">“supported and carried out a policy of not wanting to share the earth with the Jewish people and the people of a number </w:t>
      </w:r>
      <w:r w:rsidRPr="00F4388A">
        <w:rPr>
          <w:rFonts w:eastAsia="Times New Roman"/>
          <w:szCs w:val="24"/>
        </w:rPr>
        <w:lastRenderedPageBreak/>
        <w:t xml:space="preserve">of other nations – as though you and your superiors had any right to determine who should and who should not inhabit the world” </w:t>
      </w:r>
      <w:r>
        <w:rPr>
          <w:rFonts w:eastAsia="Times New Roman"/>
        </w:rPr>
        <w:fldChar w:fldCharType="begin"/>
      </w:r>
      <w:r>
        <w:rPr>
          <w:rFonts w:eastAsia="Times New Roman"/>
        </w:rPr>
        <w:instrText xml:space="preserve"> ADDIN ZOTERO_ITEM CSL_CITATION {"citationID":"tqL6GjCA","properties":{"formattedCitation":"(Arendt 1963a, 279)","plainCitation":"(Arendt 1963a, 279)","noteIndex":0},"citationItems":[{"id":268,"uris":["http://zotero.org/users/3096777/items/QCFGTFJ5"],"uri":["http://zotero.org/users/3096777/items/QCFGTFJ5"],"itemData":{"id":268,"type":"book","title":"Eichmann in Jerusalem","publisher":"Viking Press","publisher-place":"New York","event-place":"New York","author":[{"family":"Arendt","given":"Hannah"}],"issued":{"date-parts":[["1963"]]}},"locator":"279"}],"schema":"https://github.com/citation-style-language/schema/raw/master/csl-citation.json"} </w:instrText>
      </w:r>
      <w:r>
        <w:rPr>
          <w:rFonts w:eastAsia="Times New Roman"/>
        </w:rPr>
        <w:fldChar w:fldCharType="separate"/>
      </w:r>
      <w:r>
        <w:rPr>
          <w:rFonts w:eastAsia="Times New Roman"/>
          <w:noProof/>
        </w:rPr>
        <w:t>(Arendt 1963a, 279)</w:t>
      </w:r>
      <w:r>
        <w:rPr>
          <w:rFonts w:eastAsia="Times New Roman"/>
        </w:rPr>
        <w:fldChar w:fldCharType="end"/>
      </w:r>
      <w:r>
        <w:rPr>
          <w:rFonts w:eastAsia="Times New Roman"/>
        </w:rPr>
        <w:t xml:space="preserve">. </w:t>
      </w:r>
    </w:p>
    <w:p w14:paraId="6043204F" w14:textId="77777777" w:rsidR="007110F7" w:rsidRDefault="007110F7" w:rsidP="007110F7">
      <w:pPr>
        <w:spacing w:line="480" w:lineRule="auto"/>
        <w:ind w:firstLine="720"/>
      </w:pPr>
      <w:r>
        <w:rPr>
          <w:rFonts w:eastAsia="Times New Roman"/>
        </w:rPr>
        <w:t xml:space="preserve">Importantly, for Arendt </w:t>
      </w:r>
      <w:r>
        <w:rPr>
          <w:rFonts w:eastAsia="Times New Roman"/>
          <w:i/>
        </w:rPr>
        <w:t>sensus communis</w:t>
      </w:r>
      <w:r>
        <w:rPr>
          <w:rFonts w:eastAsia="Times New Roman"/>
        </w:rPr>
        <w:t xml:space="preserve"> and solidarity are not just traits that we passively possess, but rather – as shown by her exploration of its failure under totalitarianism – an activity that we have to actively practice and cultivate.</w:t>
      </w:r>
      <w:r>
        <w:rPr>
          <w:rStyle w:val="FootnoteReference"/>
          <w:rFonts w:eastAsia="Times New Roman"/>
        </w:rPr>
        <w:footnoteReference w:id="8"/>
      </w:r>
      <w:r>
        <w:rPr>
          <w:rFonts w:eastAsia="Times New Roman"/>
        </w:rPr>
        <w:t xml:space="preserve"> Because </w:t>
      </w:r>
      <w:r>
        <w:rPr>
          <w:rFonts w:eastAsia="Times New Roman"/>
          <w:i/>
        </w:rPr>
        <w:t>sensus communis</w:t>
      </w:r>
      <w:r>
        <w:rPr>
          <w:rFonts w:eastAsia="Times New Roman"/>
        </w:rPr>
        <w:t xml:space="preserve"> a practice that can be cultivated, Arendt’s conception of </w:t>
      </w:r>
      <w:r>
        <w:rPr>
          <w:rFonts w:eastAsia="Times New Roman"/>
          <w:i/>
        </w:rPr>
        <w:t>sensus communis</w:t>
      </w:r>
      <w:r>
        <w:rPr>
          <w:rFonts w:eastAsia="Times New Roman"/>
        </w:rPr>
        <w:t xml:space="preserve"> illustrates many of the most important capacities of solidarity. It can help us understand others who are different from us, it can move us away from the kind of thinking that justifies their extermination, and it is an activity rather than a trait.</w:t>
      </w:r>
    </w:p>
    <w:p w14:paraId="0A3B72A2" w14:textId="77777777" w:rsidR="007110F7" w:rsidRDefault="007110F7" w:rsidP="007110F7">
      <w:pPr>
        <w:spacing w:line="480" w:lineRule="auto"/>
        <w:ind w:firstLine="720"/>
        <w:rPr>
          <w:szCs w:val="24"/>
        </w:rPr>
      </w:pPr>
      <w:r>
        <w:rPr>
          <w:szCs w:val="24"/>
        </w:rPr>
        <w:t xml:space="preserve">Borrowing from Arendt’s </w:t>
      </w:r>
      <w:r>
        <w:rPr>
          <w:i/>
          <w:szCs w:val="24"/>
        </w:rPr>
        <w:t>sensus communis</w:t>
      </w:r>
      <w:r w:rsidRPr="00FD2398">
        <w:rPr>
          <w:szCs w:val="24"/>
        </w:rPr>
        <w:t>,</w:t>
      </w:r>
      <w:r>
        <w:rPr>
          <w:i/>
          <w:szCs w:val="24"/>
        </w:rPr>
        <w:t xml:space="preserve"> </w:t>
      </w:r>
      <w:r w:rsidRPr="00416552">
        <w:rPr>
          <w:szCs w:val="24"/>
        </w:rPr>
        <w:t>Mich</w:t>
      </w:r>
      <w:r>
        <w:rPr>
          <w:szCs w:val="24"/>
        </w:rPr>
        <w:t>a</w:t>
      </w:r>
      <w:r w:rsidRPr="00416552">
        <w:rPr>
          <w:szCs w:val="24"/>
        </w:rPr>
        <w:t xml:space="preserve">ele Ferguson argues that we shift away from a claim that members of a democracy must have some </w:t>
      </w:r>
      <w:r w:rsidRPr="00416552">
        <w:rPr>
          <w:i/>
          <w:szCs w:val="24"/>
        </w:rPr>
        <w:t>commonality</w:t>
      </w:r>
      <w:r w:rsidRPr="00416552">
        <w:rPr>
          <w:szCs w:val="24"/>
        </w:rPr>
        <w:t xml:space="preserve"> – of language, institutions, ethnicity, or history – and toward a claim that members of a democracy engage in the </w:t>
      </w:r>
      <w:r w:rsidRPr="00416552">
        <w:rPr>
          <w:i/>
          <w:szCs w:val="24"/>
        </w:rPr>
        <w:t xml:space="preserve">activity </w:t>
      </w:r>
      <w:r w:rsidRPr="00416552">
        <w:rPr>
          <w:szCs w:val="24"/>
        </w:rPr>
        <w:t xml:space="preserve">of self-government by exercising political freedom </w:t>
      </w:r>
      <w:r w:rsidRPr="00416552">
        <w:rPr>
          <w:szCs w:val="24"/>
        </w:rPr>
        <w:fldChar w:fldCharType="begin"/>
      </w:r>
      <w:r w:rsidRPr="00416552">
        <w:rPr>
          <w:szCs w:val="24"/>
        </w:rPr>
        <w:instrText xml:space="preserve"> ADDIN ZOTERO_ITEM CSL_CITATION {"citationID":"fW1vYfET","properties":{"formattedCitation":"(Ferguson 2012)","plainCitation":"(Ferguson 2012)","noteIndex":0},"citationItems":[{"id":1198,"uris":["http://zotero.org/users/3096777/items/PQ4BKEE7"],"uri":["http://zotero.org/users/3096777/items/PQ4BKEE7"],"itemData":{"id":1198,"type":"book","title":"Sharing Democracy","publisher":"Oxford University Press","publisher-place":"Oxford","event-place":"Oxford","ISBN":"978-0-19-992158-4","author":[{"family":"Ferguson","given":"Michaele L."}],"issued":{"date-parts":[["2012"]]}}}],"schema":"https://github.com/citation-style-language/schema/raw/master/csl-citation.json"} </w:instrText>
      </w:r>
      <w:r w:rsidRPr="00416552">
        <w:rPr>
          <w:szCs w:val="24"/>
        </w:rPr>
        <w:fldChar w:fldCharType="separate"/>
      </w:r>
      <w:r w:rsidRPr="00416552">
        <w:rPr>
          <w:noProof/>
          <w:szCs w:val="24"/>
        </w:rPr>
        <w:t>(Ferguson 2012)</w:t>
      </w:r>
      <w:r w:rsidRPr="00416552">
        <w:rPr>
          <w:szCs w:val="24"/>
        </w:rPr>
        <w:fldChar w:fldCharType="end"/>
      </w:r>
      <w:r w:rsidRPr="00416552">
        <w:rPr>
          <w:szCs w:val="24"/>
        </w:rPr>
        <w:t>.</w:t>
      </w:r>
      <w:r>
        <w:rPr>
          <w:szCs w:val="24"/>
        </w:rPr>
        <w:t xml:space="preserve"> In this vision of pluralistic sharing (which I discuss here because I think it is similar to solidarity), </w:t>
      </w:r>
      <w:r w:rsidRPr="003972C3">
        <w:rPr>
          <w:rFonts w:eastAsia="Times New Roman"/>
          <w:szCs w:val="24"/>
        </w:rPr>
        <w:t xml:space="preserve">“sharing is a first-person experience of relating to others: I experience that I inhabit the world together with other persons who are themselves subjects… without my awareness of the existence of other subjects, it would be meaningless to say that I share: With whom could I share, if there were no others?” </w:t>
      </w:r>
      <w:r w:rsidRPr="003972C3">
        <w:rPr>
          <w:rFonts w:eastAsia="Times New Roman"/>
          <w:szCs w:val="24"/>
        </w:rPr>
        <w:fldChar w:fldCharType="begin"/>
      </w:r>
      <w:r w:rsidRPr="003972C3">
        <w:rPr>
          <w:rFonts w:eastAsia="Times New Roman"/>
          <w:szCs w:val="24"/>
        </w:rPr>
        <w:instrText xml:space="preserve"> ADDIN ZOTERO_ITEM CSL_CITATION {"citationID":"XXp77ndS","properties":{"formattedCitation":"(Ferguson 2012, 38)","plainCitation":"(Ferguson 2012, 38)","noteIndex":0},"citationItems":[{"id":1198,"uris":["http://zotero.org/users/3096777/items/PQ4BKEE7"],"uri":["http://zotero.org/users/3096777/items/PQ4BKEE7"],"itemData":{"id":1198,"type":"book","title":"Sharing Democracy","publisher":"Oxford University Press","publisher-place":"Oxford","event-place":"Oxford","ISBN":"978-0-19-992158-4","author":[{"family":"Ferguson","given":"Michaele L."}],"issued":{"date-parts":[["2012"]]}},"locator":"38"}],"schema":"https://github.com/citation-style-language/schema/raw/master/csl-citation.json"} </w:instrText>
      </w:r>
      <w:r w:rsidRPr="003972C3">
        <w:rPr>
          <w:rFonts w:eastAsia="Times New Roman"/>
          <w:szCs w:val="24"/>
        </w:rPr>
        <w:fldChar w:fldCharType="separate"/>
      </w:r>
      <w:r w:rsidRPr="003972C3">
        <w:rPr>
          <w:rFonts w:eastAsia="Times New Roman"/>
          <w:noProof/>
          <w:szCs w:val="24"/>
        </w:rPr>
        <w:t>(Ferguson 2012, 38)</w:t>
      </w:r>
      <w:r w:rsidRPr="003972C3">
        <w:rPr>
          <w:rFonts w:eastAsia="Times New Roman"/>
          <w:szCs w:val="24"/>
        </w:rPr>
        <w:fldChar w:fldCharType="end"/>
      </w:r>
      <w:r w:rsidRPr="003972C3">
        <w:rPr>
          <w:rFonts w:eastAsia="Times New Roman"/>
          <w:szCs w:val="24"/>
        </w:rPr>
        <w:t xml:space="preserve"> </w:t>
      </w:r>
      <w:r w:rsidRPr="003972C3">
        <w:rPr>
          <w:szCs w:val="24"/>
        </w:rPr>
        <w:t xml:space="preserve">In the </w:t>
      </w:r>
      <w:r>
        <w:rPr>
          <w:i/>
          <w:szCs w:val="24"/>
        </w:rPr>
        <w:t>activity</w:t>
      </w:r>
      <w:r w:rsidRPr="003972C3">
        <w:rPr>
          <w:szCs w:val="24"/>
        </w:rPr>
        <w:t xml:space="preserve"> account, what is in common is a set of meanings that are created actively by people through social interactions.</w:t>
      </w:r>
      <w:r>
        <w:rPr>
          <w:szCs w:val="24"/>
        </w:rPr>
        <w:t xml:space="preserve"> One crucial element in Ferguson’s vision of sharing as activity is that we are sharing with plural others in a society of difference. </w:t>
      </w:r>
      <w:r>
        <w:rPr>
          <w:szCs w:val="24"/>
        </w:rPr>
        <w:lastRenderedPageBreak/>
        <w:t xml:space="preserve">Because we no longer need to find characteristics that we share with others, sharing as activity opens up the possibility for solidarity with others who, like us, also participate in world-building. </w:t>
      </w:r>
    </w:p>
    <w:p w14:paraId="25A974F7" w14:textId="4638E511" w:rsidR="007110F7" w:rsidRDefault="007110F7" w:rsidP="007110F7">
      <w:pPr>
        <w:spacing w:line="480" w:lineRule="auto"/>
        <w:ind w:firstLine="720"/>
      </w:pPr>
      <w:r>
        <w:t xml:space="preserve">Also indebted to Arendt, Danielle Allen </w:t>
      </w:r>
      <w:r w:rsidRPr="004D6F20">
        <w:rPr>
          <w:rFonts w:eastAsia="Times New Roman"/>
          <w:szCs w:val="24"/>
        </w:rPr>
        <w:fldChar w:fldCharType="begin"/>
      </w:r>
      <w:r w:rsidRPr="004D6F20">
        <w:rPr>
          <w:rFonts w:eastAsia="Times New Roman"/>
          <w:szCs w:val="24"/>
        </w:rPr>
        <w:instrText xml:space="preserve"> ADDIN ZOTERO_ITEM CSL_CITATION {"citationID":"8Z8Ar7jd","properties":{"formattedCitation":"(2004)","plainCitation":"(2004)","noteIndex":0},"citationItems":[{"id":248,"uris":["http://zotero.org/users/3096777/items/PLXCJILG"],"uri":["http://zotero.org/users/3096777/items/PLXCJILG"],"itemData":{"id":248,"type":"book","title":"Talking to Strangers: Anxieties of Citizenship Since Brown v. Board of Education","publisher":"The University of Chicago Press","publisher-place":"Chicago","event-place":"Chicago","author":[{"family":"Allen","given":"Danielle"}],"issued":{"date-parts":[["2004"]]}},"suppress-author":true}],"schema":"https://github.com/citation-style-language/schema/raw/master/csl-citation.json"} </w:instrText>
      </w:r>
      <w:r w:rsidRPr="004D6F20">
        <w:rPr>
          <w:rFonts w:eastAsia="Times New Roman"/>
          <w:szCs w:val="24"/>
        </w:rPr>
        <w:fldChar w:fldCharType="separate"/>
      </w:r>
      <w:r w:rsidRPr="004D6F20">
        <w:rPr>
          <w:rFonts w:eastAsia="Times New Roman"/>
          <w:noProof/>
          <w:szCs w:val="24"/>
        </w:rPr>
        <w:t>(2004)</w:t>
      </w:r>
      <w:r w:rsidRPr="004D6F20">
        <w:rPr>
          <w:rFonts w:eastAsia="Times New Roman"/>
          <w:szCs w:val="24"/>
        </w:rPr>
        <w:fldChar w:fldCharType="end"/>
      </w:r>
      <w:r>
        <w:rPr>
          <w:rFonts w:eastAsia="Times New Roman"/>
          <w:szCs w:val="24"/>
        </w:rPr>
        <w:t xml:space="preserve"> </w:t>
      </w:r>
      <w:r>
        <w:t xml:space="preserve">articulates a praxis of something like solidarity: political friendship – as an antidote to racial animus in democracies. </w:t>
      </w:r>
      <w:r w:rsidRPr="004D6F20">
        <w:rPr>
          <w:rFonts w:eastAsia="Times New Roman"/>
          <w:szCs w:val="24"/>
        </w:rPr>
        <w:t xml:space="preserve">Allen identifies the central problem of U.S. democracy as distrust, especially between racial groups. Her remedy to distrust is the </w:t>
      </w:r>
      <w:r w:rsidRPr="004D6F20">
        <w:rPr>
          <w:rFonts w:eastAsia="Times New Roman"/>
          <w:i/>
          <w:szCs w:val="24"/>
        </w:rPr>
        <w:t>practice</w:t>
      </w:r>
      <w:r w:rsidRPr="004D6F20">
        <w:rPr>
          <w:rFonts w:eastAsia="Times New Roman"/>
          <w:szCs w:val="24"/>
        </w:rPr>
        <w:t xml:space="preserve"> of friendship rather than finding common </w:t>
      </w:r>
      <w:r w:rsidRPr="004D6F20">
        <w:rPr>
          <w:rFonts w:eastAsia="Times New Roman"/>
          <w:i/>
          <w:szCs w:val="24"/>
        </w:rPr>
        <w:t>characteristics</w:t>
      </w:r>
      <w:r w:rsidRPr="004D6F20">
        <w:rPr>
          <w:rFonts w:eastAsia="Times New Roman"/>
          <w:szCs w:val="24"/>
        </w:rPr>
        <w:t>, and her proposal for achieving democratic solidarity is “wholeness” (emphasizing mutuality and integration rather than assimilation) rather than “</w:t>
      </w:r>
      <w:r w:rsidR="00316B19" w:rsidRPr="004D6F20">
        <w:rPr>
          <w:rFonts w:eastAsia="Times New Roman"/>
          <w:szCs w:val="24"/>
        </w:rPr>
        <w:t>oneness</w:t>
      </w:r>
      <w:r w:rsidRPr="004D6F20">
        <w:rPr>
          <w:rFonts w:eastAsia="Times New Roman"/>
          <w:szCs w:val="24"/>
        </w:rPr>
        <w:t xml:space="preserve">” (homogeneity). For Allen, political friendship is built on the recognition of having a shared life with another, namely, our shared experiences and practices as members of the same polity. </w:t>
      </w:r>
    </w:p>
    <w:p w14:paraId="70F8DF79" w14:textId="77777777" w:rsidR="007110F7" w:rsidRDefault="007110F7" w:rsidP="007110F7">
      <w:pPr>
        <w:spacing w:line="480" w:lineRule="auto"/>
        <w:ind w:firstLine="720"/>
      </w:pPr>
      <w:r>
        <w:rPr>
          <w:rFonts w:eastAsia="Times New Roman"/>
          <w:szCs w:val="24"/>
        </w:rPr>
        <w:t xml:space="preserve">Likewise, </w:t>
      </w:r>
      <w:r w:rsidRPr="00D14895">
        <w:rPr>
          <w:rFonts w:eastAsia="Times New Roman"/>
          <w:szCs w:val="24"/>
        </w:rPr>
        <w:t xml:space="preserve">Juliet Hooker sees solidarity </w:t>
      </w:r>
      <w:r>
        <w:rPr>
          <w:rFonts w:eastAsia="Times New Roman"/>
          <w:szCs w:val="24"/>
        </w:rPr>
        <w:t xml:space="preserve">not as commonality-based, but rather </w:t>
      </w:r>
      <w:r w:rsidRPr="00D14895">
        <w:rPr>
          <w:rFonts w:eastAsia="Times New Roman"/>
          <w:szCs w:val="24"/>
        </w:rPr>
        <w:t xml:space="preserve">as both a normative orientation and a practice </w:t>
      </w:r>
      <w:r w:rsidRPr="00D14895">
        <w:rPr>
          <w:rFonts w:eastAsia="Times New Roman"/>
          <w:szCs w:val="24"/>
        </w:rPr>
        <w:fldChar w:fldCharType="begin"/>
      </w:r>
      <w:r w:rsidRPr="00D14895">
        <w:rPr>
          <w:rFonts w:eastAsia="Times New Roman"/>
          <w:szCs w:val="24"/>
        </w:rPr>
        <w:instrText xml:space="preserve"> ADDIN ZOTERO_ITEM CSL_CITATION {"citationID":"7uzUOFGO","properties":{"formattedCitation":"(Hooker 2009, 21)","plainCitation":"(Hooker 2009, 21)","noteIndex":0},"citationItems":[{"id":1201,"uris":["http://zotero.org/users/3096777/items/APRUHULL"],"uri":["http://zotero.org/users/3096777/items/APRUHULL"],"itemData":{"id":1201,"type":"book","title":"Race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Press","publisher-place":"Oxford","event-place":"Oxford","author":[{"family":"Hooker","given":"Juliet"}],"issued":{"date-parts":[["2009"]]}},"locator":"21"}],"schema":"https://github.com/citation-style-language/schema/raw/master/csl-citation.json"} </w:instrText>
      </w:r>
      <w:r w:rsidRPr="00D14895">
        <w:rPr>
          <w:rFonts w:eastAsia="Times New Roman"/>
          <w:szCs w:val="24"/>
        </w:rPr>
        <w:fldChar w:fldCharType="separate"/>
      </w:r>
      <w:r w:rsidRPr="00D14895">
        <w:rPr>
          <w:rFonts w:eastAsia="Times New Roman"/>
          <w:noProof/>
          <w:szCs w:val="24"/>
        </w:rPr>
        <w:t>(Hooker 2009, 21)</w:t>
      </w:r>
      <w:r w:rsidRPr="00D14895">
        <w:rPr>
          <w:rFonts w:eastAsia="Times New Roman"/>
          <w:szCs w:val="24"/>
        </w:rPr>
        <w:fldChar w:fldCharType="end"/>
      </w:r>
      <w:r w:rsidRPr="00D14895">
        <w:rPr>
          <w:rFonts w:eastAsia="Times New Roman"/>
          <w:szCs w:val="24"/>
        </w:rPr>
        <w:t xml:space="preserve">. </w:t>
      </w:r>
      <w:r>
        <w:rPr>
          <w:rFonts w:eastAsia="Times New Roman"/>
          <w:szCs w:val="24"/>
        </w:rPr>
        <w:t>For Hooker,</w:t>
      </w:r>
      <w:r w:rsidRPr="00BF7E1D">
        <w:rPr>
          <w:rFonts w:eastAsia="Times New Roman"/>
          <w:szCs w:val="24"/>
        </w:rPr>
        <w:t xml:space="preserve"> solidarity is based on “structural conditions that require people to develop contingent solidarities… that are not dependent on mutual identification (i.e., thinking of others as being ‘like us’) or shared nationality” </w:t>
      </w:r>
      <w:r>
        <w:rPr>
          <w:rFonts w:eastAsia="Times New Roman"/>
          <w:szCs w:val="24"/>
        </w:rPr>
        <w:fldChar w:fldCharType="begin"/>
      </w:r>
      <w:r>
        <w:rPr>
          <w:rFonts w:eastAsia="Times New Roman"/>
          <w:szCs w:val="24"/>
        </w:rPr>
        <w:instrText xml:space="preserve"> ADDIN ZOTERO_ITEM CSL_CITATION {"citationID":"EXhmWYZU","properties":{"formattedCitation":"(Hooker 2009, 37)","plainCitation":"(Hooker 2009, 37)","noteIndex":0},"citationItems":[{"id":1201,"uris":["http://zotero.org/users/3096777/items/APRUHULL"],"uri":["http://zotero.org/users/3096777/items/APRUHULL"],"itemData":{"id":1201,"type":"book","title":"Race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Press","publisher-place":"Oxford","event-place":"Oxford","author":[{"family":"Hooker","given":"Juliet"}],"issued":{"date-parts":[["2009"]]}},"locator":"37"}],"schema":"https://github.com/citation-style-language/schema/raw/master/csl-citation.json"} </w:instrText>
      </w:r>
      <w:r>
        <w:rPr>
          <w:rFonts w:eastAsia="Times New Roman"/>
          <w:szCs w:val="24"/>
        </w:rPr>
        <w:fldChar w:fldCharType="separate"/>
      </w:r>
      <w:r>
        <w:rPr>
          <w:rFonts w:eastAsia="Times New Roman"/>
          <w:noProof/>
          <w:szCs w:val="24"/>
        </w:rPr>
        <w:t>(Hooker 2009, 37)</w:t>
      </w:r>
      <w:r>
        <w:rPr>
          <w:rFonts w:eastAsia="Times New Roman"/>
          <w:szCs w:val="24"/>
        </w:rPr>
        <w:fldChar w:fldCharType="end"/>
      </w:r>
      <w:r>
        <w:rPr>
          <w:rFonts w:eastAsia="Times New Roman"/>
          <w:szCs w:val="24"/>
        </w:rPr>
        <w:t xml:space="preserve">. </w:t>
      </w:r>
      <w:r w:rsidRPr="00D14895">
        <w:rPr>
          <w:rFonts w:eastAsia="Times New Roman"/>
          <w:szCs w:val="24"/>
        </w:rPr>
        <w:t xml:space="preserve">The problem of political solidarity, she argues, is that it is fundamentally shaped by race. The U.S. and other racialized societies have not achieved full solidarity; rather, we have had racialized solidarity, “the diametrically opposed ethical-historical perspectives developed by dominant (white) and subordinated (nonwhite) groups in a racial polity” </w:t>
      </w:r>
      <w:r w:rsidRPr="00D14895">
        <w:rPr>
          <w:rFonts w:eastAsia="Times New Roman"/>
          <w:szCs w:val="24"/>
        </w:rPr>
        <w:fldChar w:fldCharType="begin"/>
      </w:r>
      <w:r w:rsidRPr="00D14895">
        <w:rPr>
          <w:rFonts w:eastAsia="Times New Roman"/>
          <w:szCs w:val="24"/>
        </w:rPr>
        <w:instrText xml:space="preserve"> ADDIN ZOTERO_ITEM CSL_CITATION {"citationID":"mmxwrJeG","properties":{"formattedCitation":"(Hooker 2009, 88)","plainCitation":"(Hooker 2009, 88)","noteIndex":0},"citationItems":[{"id":1201,"uris":["http://zotero.org/users/3096777/items/APRUHULL"],"uri":["http://zotero.org/users/3096777/items/APRUHULL"],"itemData":{"id":1201,"type":"book","title":"Race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Press","publisher-place":"Oxford","event-place":"Oxford","author":[{"family":"Hooker","given":"Juliet"}],"issued":{"date-parts":[["2009"]]}},"locator":"88"}],"schema":"https://github.com/citation-style-language/schema/raw/master/csl-citation.json"} </w:instrText>
      </w:r>
      <w:r w:rsidRPr="00D14895">
        <w:rPr>
          <w:rFonts w:eastAsia="Times New Roman"/>
          <w:szCs w:val="24"/>
        </w:rPr>
        <w:fldChar w:fldCharType="separate"/>
      </w:r>
      <w:r w:rsidRPr="00D14895">
        <w:rPr>
          <w:rFonts w:eastAsia="Times New Roman"/>
          <w:noProof/>
          <w:szCs w:val="24"/>
        </w:rPr>
        <w:t>(Hooker 2009, 88)</w:t>
      </w:r>
      <w:r w:rsidRPr="00D14895">
        <w:rPr>
          <w:rFonts w:eastAsia="Times New Roman"/>
          <w:szCs w:val="24"/>
        </w:rPr>
        <w:fldChar w:fldCharType="end"/>
      </w:r>
      <w:r w:rsidRPr="00D14895">
        <w:rPr>
          <w:rFonts w:eastAsia="Times New Roman"/>
          <w:szCs w:val="24"/>
        </w:rPr>
        <w:t xml:space="preserve">. This racialized solidarity stems from whites’ failure to acknowledge and remedy racial injustices. </w:t>
      </w:r>
      <w:r>
        <w:rPr>
          <w:rFonts w:eastAsia="Times New Roman"/>
          <w:szCs w:val="24"/>
        </w:rPr>
        <w:t>I</w:t>
      </w:r>
      <w:r w:rsidRPr="00D14895">
        <w:rPr>
          <w:rFonts w:eastAsia="Times New Roman"/>
          <w:szCs w:val="24"/>
        </w:rPr>
        <w:t>n fact</w:t>
      </w:r>
      <w:r>
        <w:rPr>
          <w:rFonts w:eastAsia="Times New Roman"/>
          <w:szCs w:val="24"/>
        </w:rPr>
        <w:t>,</w:t>
      </w:r>
      <w:r w:rsidRPr="00D14895">
        <w:rPr>
          <w:rFonts w:eastAsia="Times New Roman"/>
          <w:szCs w:val="24"/>
        </w:rPr>
        <w:t xml:space="preserve"> many whites see nonwhites’ calls to remedy racial injustice as the real threat to solidarity</w:t>
      </w:r>
      <w:r>
        <w:rPr>
          <w:rFonts w:eastAsia="Times New Roman"/>
          <w:szCs w:val="24"/>
        </w:rPr>
        <w:t>. As a result, nonwhites</w:t>
      </w:r>
      <w:r w:rsidRPr="00586985">
        <w:rPr>
          <w:rFonts w:eastAsia="Times New Roman"/>
          <w:szCs w:val="24"/>
        </w:rPr>
        <w:t xml:space="preserve"> experience the dominant </w:t>
      </w:r>
      <w:r>
        <w:rPr>
          <w:rFonts w:eastAsia="Times New Roman"/>
          <w:szCs w:val="24"/>
        </w:rPr>
        <w:t xml:space="preserve">race-blind </w:t>
      </w:r>
      <w:r w:rsidRPr="00586985">
        <w:rPr>
          <w:rFonts w:eastAsia="Times New Roman"/>
          <w:szCs w:val="24"/>
        </w:rPr>
        <w:t xml:space="preserve">discourse as hypocritical and see racism as the status quo while whites see racism as an aberration or exception to a status quo of equality </w:t>
      </w:r>
      <w:r>
        <w:rPr>
          <w:rFonts w:eastAsia="Times New Roman"/>
          <w:szCs w:val="24"/>
        </w:rPr>
        <w:fldChar w:fldCharType="begin"/>
      </w:r>
      <w:r>
        <w:rPr>
          <w:rFonts w:eastAsia="Times New Roman"/>
          <w:szCs w:val="24"/>
        </w:rPr>
        <w:instrText xml:space="preserve"> ADDIN ZOTERO_ITEM CSL_CITATION {"citationID":"i9rBrtTB","properties":{"formattedCitation":"(Hooker 2009, 44)","plainCitation":"(Hooker 2009, 44)","noteIndex":0},"citationItems":[{"id":1201,"uris":["http://zotero.org/users/3096777/items/APRUHULL"],"uri":["http://zotero.org/users/3096777/items/APRUHULL"],"itemData":{"id":1201,"type":"book","title":"Race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Press","publisher-place":"Oxford","event-place":"Oxford","author":[{"family":"Hooker","given":"Juliet"}],"issued":{"date-parts":[["2009"]]}},"locator":"44"}],"schema":"https://github.com/citation-style-language/schema/raw/master/csl-citation.json"} </w:instrText>
      </w:r>
      <w:r>
        <w:rPr>
          <w:rFonts w:eastAsia="Times New Roman"/>
          <w:szCs w:val="24"/>
        </w:rPr>
        <w:fldChar w:fldCharType="separate"/>
      </w:r>
      <w:r>
        <w:rPr>
          <w:rFonts w:eastAsia="Times New Roman"/>
          <w:noProof/>
          <w:szCs w:val="24"/>
        </w:rPr>
        <w:t>(Hooker 2009, 44)</w:t>
      </w:r>
      <w:r>
        <w:rPr>
          <w:rFonts w:eastAsia="Times New Roman"/>
          <w:szCs w:val="24"/>
        </w:rPr>
        <w:fldChar w:fldCharType="end"/>
      </w:r>
      <w:r w:rsidRPr="00586985">
        <w:rPr>
          <w:rFonts w:eastAsia="Times New Roman"/>
          <w:szCs w:val="24"/>
        </w:rPr>
        <w:t xml:space="preserve">. This creates a solidarity </w:t>
      </w:r>
      <w:r w:rsidRPr="00586985">
        <w:rPr>
          <w:rFonts w:eastAsia="Times New Roman"/>
          <w:szCs w:val="24"/>
        </w:rPr>
        <w:lastRenderedPageBreak/>
        <w:t>gap between nonwhites and whites.</w:t>
      </w:r>
      <w:r>
        <w:rPr>
          <w:rFonts w:eastAsia="Times New Roman"/>
          <w:szCs w:val="24"/>
        </w:rPr>
        <w:t xml:space="preserve"> As a result of this framing of the problem, Hooker’s solution to overcoming racialized solidarity is at the systemic or discursive level. </w:t>
      </w:r>
    </w:p>
    <w:p w14:paraId="16A22A8F" w14:textId="77777777" w:rsidR="007110F7" w:rsidRDefault="007110F7" w:rsidP="007110F7">
      <w:pPr>
        <w:spacing w:line="480" w:lineRule="auto"/>
        <w:ind w:firstLine="720"/>
      </w:pPr>
      <w:r>
        <w:rPr>
          <w:rFonts w:eastAsia="Times New Roman"/>
          <w:szCs w:val="24"/>
        </w:rPr>
        <w:t xml:space="preserve">However, unlike Allen, who focuses on individual practices of friendship, Hooker argues that individual practices like charitable giving are not sufficient to overcome racialized solidarity. Rather, we should work to change </w:t>
      </w:r>
      <w:r w:rsidRPr="00771C17">
        <w:rPr>
          <w:rFonts w:eastAsia="Times New Roman"/>
          <w:szCs w:val="24"/>
        </w:rPr>
        <w:t xml:space="preserve">the underlying “normative orientations among dominant groups that need to be overcome” </w:t>
      </w:r>
      <w:r>
        <w:rPr>
          <w:rFonts w:eastAsia="Times New Roman"/>
          <w:szCs w:val="24"/>
        </w:rPr>
        <w:fldChar w:fldCharType="begin"/>
      </w:r>
      <w:r>
        <w:rPr>
          <w:rFonts w:eastAsia="Times New Roman"/>
          <w:szCs w:val="24"/>
        </w:rPr>
        <w:instrText xml:space="preserve"> ADDIN ZOTERO_ITEM CSL_CITATION {"citationID":"IMa6Nocl","properties":{"formattedCitation":"(Hooker 2009, 49)","plainCitation":"(Hooker 2009, 49)","noteIndex":0},"citationItems":[{"id":1201,"uris":["http://zotero.org/users/3096777/items/APRUHULL"],"uri":["http://zotero.org/users/3096777/items/APRUHULL"],"itemData":{"id":1201,"type":"book","title":"Race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Press","publisher-place":"Oxford","event-place":"Oxford","author":[{"family":"Hooker","given":"Juliet"}],"issued":{"date-parts":[["2009"]]}},"locator":"49"}],"schema":"https://github.com/citation-style-language/schema/raw/master/csl-citation.json"} </w:instrText>
      </w:r>
      <w:r>
        <w:rPr>
          <w:rFonts w:eastAsia="Times New Roman"/>
          <w:szCs w:val="24"/>
        </w:rPr>
        <w:fldChar w:fldCharType="separate"/>
      </w:r>
      <w:r>
        <w:rPr>
          <w:rFonts w:eastAsia="Times New Roman"/>
          <w:noProof/>
          <w:szCs w:val="24"/>
        </w:rPr>
        <w:t>(Hooker 2009, 49)</w:t>
      </w:r>
      <w:r>
        <w:rPr>
          <w:rFonts w:eastAsia="Times New Roman"/>
          <w:szCs w:val="24"/>
        </w:rPr>
        <w:fldChar w:fldCharType="end"/>
      </w:r>
      <w:r>
        <w:rPr>
          <w:rFonts w:eastAsia="Times New Roman"/>
          <w:szCs w:val="24"/>
        </w:rPr>
        <w:t xml:space="preserve">. We might not be able to fully overcome racialized solidarity, </w:t>
      </w:r>
      <w:r w:rsidRPr="00771C17">
        <w:rPr>
          <w:rFonts w:eastAsia="Times New Roman"/>
          <w:szCs w:val="24"/>
        </w:rPr>
        <w:t xml:space="preserve">but an important first step would be making whiteness visible to whites in order to facilitate a “radical reevaluation of the meaning of the [moral and political] categories themselves” </w:t>
      </w:r>
      <w:r>
        <w:rPr>
          <w:rFonts w:eastAsia="Times New Roman"/>
          <w:szCs w:val="24"/>
        </w:rPr>
        <w:fldChar w:fldCharType="begin"/>
      </w:r>
      <w:r>
        <w:rPr>
          <w:rFonts w:eastAsia="Times New Roman"/>
          <w:szCs w:val="24"/>
        </w:rPr>
        <w:instrText xml:space="preserve"> ADDIN ZOTERO_ITEM CSL_CITATION {"citationID":"jOq0p5tN","properties":{"formattedCitation":"(Hooker 2009, 50)","plainCitation":"(Hooker 2009, 50)","noteIndex":0},"citationItems":[{"id":1201,"uris":["http://zotero.org/users/3096777/items/APRUHULL"],"uri":["http://zotero.org/users/3096777/items/APRUHULL"],"itemData":{"id":1201,"type":"book","title":"Race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Press","publisher-place":"Oxford","event-place":"Oxford","author":[{"family":"Hooker","given":"Juliet"}],"issued":{"date-parts":[["2009"]]}},"locator":"50"}],"schema":"https://github.com/citation-style-language/schema/raw/master/csl-citation.json"} </w:instrText>
      </w:r>
      <w:r>
        <w:rPr>
          <w:rFonts w:eastAsia="Times New Roman"/>
          <w:szCs w:val="24"/>
        </w:rPr>
        <w:fldChar w:fldCharType="separate"/>
      </w:r>
      <w:r>
        <w:rPr>
          <w:rFonts w:eastAsia="Times New Roman"/>
          <w:noProof/>
          <w:szCs w:val="24"/>
        </w:rPr>
        <w:t>(Hooker 2009, 50)</w:t>
      </w:r>
      <w:r>
        <w:rPr>
          <w:rFonts w:eastAsia="Times New Roman"/>
          <w:szCs w:val="24"/>
        </w:rPr>
        <w:fldChar w:fldCharType="end"/>
      </w:r>
      <w:r>
        <w:rPr>
          <w:rFonts w:eastAsia="Times New Roman"/>
          <w:szCs w:val="24"/>
        </w:rPr>
        <w:t>, to</w:t>
      </w:r>
      <w:r w:rsidRPr="00771C17">
        <w:rPr>
          <w:rFonts w:eastAsia="Times New Roman"/>
          <w:szCs w:val="24"/>
        </w:rPr>
        <w:t xml:space="preserve"> “transform the ethical self-understanding of the political community as a whole” </w:t>
      </w:r>
      <w:r>
        <w:rPr>
          <w:rFonts w:eastAsia="Times New Roman"/>
          <w:szCs w:val="24"/>
        </w:rPr>
        <w:fldChar w:fldCharType="begin"/>
      </w:r>
      <w:r>
        <w:rPr>
          <w:rFonts w:eastAsia="Times New Roman"/>
          <w:szCs w:val="24"/>
        </w:rPr>
        <w:instrText xml:space="preserve"> ADDIN ZOTERO_ITEM CSL_CITATION {"citationID":"qDh1VHdE","properties":{"formattedCitation":"(Hooker 2009, 52)","plainCitation":"(Hooker 2009, 52)","noteIndex":0},"citationItems":[{"id":1201,"uris":["http://zotero.org/users/3096777/items/APRUHULL"],"uri":["http://zotero.org/users/3096777/items/APRUHULL"],"itemData":{"id":1201,"type":"book","title":"Race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Press","publisher-place":"Oxford","event-place":"Oxford","author":[{"family":"Hooker","given":"Juliet"}],"issued":{"date-parts":[["2009"]]}},"locator":"52"}],"schema":"https://github.com/citation-style-language/schema/raw/master/csl-citation.json"} </w:instrText>
      </w:r>
      <w:r>
        <w:rPr>
          <w:rFonts w:eastAsia="Times New Roman"/>
          <w:szCs w:val="24"/>
        </w:rPr>
        <w:fldChar w:fldCharType="separate"/>
      </w:r>
      <w:r>
        <w:rPr>
          <w:rFonts w:eastAsia="Times New Roman"/>
          <w:noProof/>
          <w:szCs w:val="24"/>
        </w:rPr>
        <w:t>(Hooker 2009, 52)</w:t>
      </w:r>
      <w:r>
        <w:rPr>
          <w:rFonts w:eastAsia="Times New Roman"/>
          <w:szCs w:val="24"/>
        </w:rPr>
        <w:fldChar w:fldCharType="end"/>
      </w:r>
      <w:r w:rsidRPr="00771C17">
        <w:rPr>
          <w:rFonts w:eastAsia="Times New Roman"/>
          <w:szCs w:val="24"/>
        </w:rPr>
        <w:t xml:space="preserve"> by revealing inequalities</w:t>
      </w:r>
      <w:r>
        <w:rPr>
          <w:rFonts w:eastAsia="Times New Roman"/>
          <w:szCs w:val="24"/>
        </w:rPr>
        <w:t xml:space="preserve"> and </w:t>
      </w:r>
      <w:r w:rsidRPr="00771C17">
        <w:rPr>
          <w:rFonts w:eastAsia="Times New Roman"/>
          <w:szCs w:val="24"/>
        </w:rPr>
        <w:t>confronting questions of justice</w:t>
      </w:r>
      <w:r>
        <w:rPr>
          <w:rFonts w:eastAsia="Times New Roman"/>
          <w:szCs w:val="24"/>
        </w:rPr>
        <w:t>. Hooker thus emphasizes solidarity as rooted in practice, but unlike Allen, she highlights not individual practices but rather systemic practices that would create normative change at the discursive level.</w:t>
      </w:r>
    </w:p>
    <w:p w14:paraId="66475E54" w14:textId="77777777" w:rsidR="007110F7" w:rsidRDefault="007110F7" w:rsidP="007110F7">
      <w:pPr>
        <w:spacing w:line="480" w:lineRule="auto"/>
        <w:ind w:firstLine="720"/>
        <w:rPr>
          <w:rFonts w:eastAsia="Times New Roman"/>
          <w:szCs w:val="24"/>
        </w:rPr>
      </w:pPr>
      <w:r>
        <w:rPr>
          <w:rFonts w:eastAsia="Times New Roman"/>
          <w:szCs w:val="24"/>
        </w:rPr>
        <w:t xml:space="preserve">Finally, as I have noted, </w:t>
      </w:r>
      <w:r w:rsidRPr="006D6B9A">
        <w:rPr>
          <w:rFonts w:eastAsia="Times New Roman"/>
          <w:szCs w:val="24"/>
        </w:rPr>
        <w:t>Richard Rorty</w:t>
      </w:r>
      <w:r>
        <w:rPr>
          <w:rFonts w:eastAsia="Times New Roman"/>
          <w:szCs w:val="24"/>
        </w:rPr>
        <w:t xml:space="preserve"> </w:t>
      </w:r>
      <w:r w:rsidRPr="006D6B9A">
        <w:rPr>
          <w:rFonts w:eastAsia="Times New Roman"/>
          <w:szCs w:val="24"/>
        </w:rPr>
        <w:t xml:space="preserve">has ontological and pragmatic objections to solidarity as commonality. What he proposes instead is an extension of solidarity to others who are not like us – those who are not in our immediate ingroup – not on the basis of innate human commonality, but rather on the basis of </w:t>
      </w:r>
      <w:r w:rsidRPr="006D6B9A">
        <w:rPr>
          <w:rFonts w:eastAsia="Times New Roman"/>
          <w:i/>
          <w:szCs w:val="24"/>
        </w:rPr>
        <w:t>shared pain and humiliation</w:t>
      </w:r>
      <w:r w:rsidRPr="006D6B9A">
        <w:rPr>
          <w:rFonts w:eastAsia="Times New Roman"/>
          <w:szCs w:val="24"/>
        </w:rPr>
        <w:t xml:space="preserve">. We all share in common the experience of shared pain and humiliation, and he argues that depictions of the pain and humiliation of others are a way for us to extend our solidarity to those otherwise different from us </w:t>
      </w:r>
      <w:r w:rsidRPr="006D6B9A">
        <w:rPr>
          <w:rFonts w:eastAsia="Times New Roman"/>
          <w:szCs w:val="24"/>
        </w:rPr>
        <w:fldChar w:fldCharType="begin"/>
      </w:r>
      <w:r w:rsidRPr="006D6B9A">
        <w:rPr>
          <w:rFonts w:eastAsia="Times New Roman"/>
          <w:szCs w:val="24"/>
        </w:rPr>
        <w:instrText xml:space="preserve"> ADDIN ZOTERO_ITEM CSL_CITATION {"citationID":"4jjxtS69","properties":{"formattedCitation":"(Rorty 1989, 192)","plainCitation":"(Rorty 1989, 192)","noteIndex":0},"citationItems":[{"id":174,"uris":["http://zotero.org/users/3096777/items/8RJS5QPS"],"uri":["http://zotero.org/users/3096777/items/8RJS5QPS"],"itemData":{"id":174,"type":"book","title":"Contingency, irony, and solidarity","publisher":"Cambridge University Press","publisher-place":"Cambridge","event-place":"Cambridge","author":[{"family":"Rorty","given":"Richard"}],"issued":{"date-parts":[["1989"]]}},"locator":"192"}],"schema":"https://github.com/citation-style-language/schema/raw/master/csl-citation.json"} </w:instrText>
      </w:r>
      <w:r w:rsidRPr="006D6B9A">
        <w:rPr>
          <w:rFonts w:eastAsia="Times New Roman"/>
          <w:szCs w:val="24"/>
        </w:rPr>
        <w:fldChar w:fldCharType="separate"/>
      </w:r>
      <w:r w:rsidRPr="006D6B9A">
        <w:rPr>
          <w:rFonts w:eastAsia="Times New Roman"/>
          <w:noProof/>
          <w:szCs w:val="24"/>
        </w:rPr>
        <w:t>(Rorty 1989, 192)</w:t>
      </w:r>
      <w:r w:rsidRPr="006D6B9A">
        <w:rPr>
          <w:rFonts w:eastAsia="Times New Roman"/>
          <w:szCs w:val="24"/>
        </w:rPr>
        <w:fldChar w:fldCharType="end"/>
      </w:r>
      <w:r w:rsidRPr="006D6B9A">
        <w:rPr>
          <w:rFonts w:eastAsia="Times New Roman"/>
          <w:szCs w:val="24"/>
        </w:rPr>
        <w:t xml:space="preserve">. Rather than think of human solidarity as an antecedent to political solidarity, something we can discover, Rorty wants us to think of human solidarity as something we can actively create by expanding our sense of who is included in “us.” The practice </w:t>
      </w:r>
      <w:r>
        <w:rPr>
          <w:rFonts w:eastAsia="Times New Roman"/>
          <w:szCs w:val="24"/>
        </w:rPr>
        <w:t xml:space="preserve">of exercising our </w:t>
      </w:r>
      <w:r w:rsidRPr="0057024B">
        <w:rPr>
          <w:rFonts w:eastAsia="Times New Roman"/>
          <w:szCs w:val="24"/>
        </w:rPr>
        <w:t xml:space="preserve">“imaginative ability to see strange people </w:t>
      </w:r>
      <w:r>
        <w:rPr>
          <w:rFonts w:eastAsia="Times New Roman"/>
          <w:szCs w:val="24"/>
        </w:rPr>
        <w:t>a</w:t>
      </w:r>
      <w:r w:rsidRPr="0057024B">
        <w:rPr>
          <w:rFonts w:eastAsia="Times New Roman"/>
          <w:szCs w:val="24"/>
        </w:rPr>
        <w:t>s fellow sufferers”</w:t>
      </w:r>
      <w:r>
        <w:rPr>
          <w:rFonts w:eastAsia="Times New Roman"/>
          <w:szCs w:val="24"/>
        </w:rPr>
        <w:t xml:space="preserve"> </w:t>
      </w:r>
      <w:r>
        <w:rPr>
          <w:rFonts w:eastAsia="Times New Roman"/>
          <w:szCs w:val="24"/>
        </w:rPr>
        <w:fldChar w:fldCharType="begin"/>
      </w:r>
      <w:r>
        <w:rPr>
          <w:rFonts w:eastAsia="Times New Roman"/>
          <w:szCs w:val="24"/>
        </w:rPr>
        <w:instrText xml:space="preserve"> ADDIN ZOTERO_ITEM CSL_CITATION {"citationID":"eA07pgkL","properties":{"formattedCitation":"(Rorty 1989, xvi)","plainCitation":"(Rorty 1989, xvi)","noteIndex":0},"citationItems":[{"id":174,"uris":["http://zotero.org/users/3096777/items/8RJS5QPS"],"uri":["http://zotero.org/users/3096777/items/8RJS5QPS"],"itemData":{"id":174,"type":"book","title":"Contingency, irony, and solidarity","publisher":"Cambridge University Press","publisher-place":"Cambridge","event-place":"Cambridge","author":[{"family":"Rorty","given":"Richard"}],"issued":{"date-parts":[["1989"]]}},"locator":"xvi"}],"schema":"https://github.com/citation-style-language/schema/raw/master/csl-citation.json"} </w:instrText>
      </w:r>
      <w:r>
        <w:rPr>
          <w:rFonts w:eastAsia="Times New Roman"/>
          <w:szCs w:val="24"/>
        </w:rPr>
        <w:fldChar w:fldCharType="separate"/>
      </w:r>
      <w:r>
        <w:rPr>
          <w:rFonts w:eastAsia="Times New Roman"/>
          <w:noProof/>
          <w:szCs w:val="24"/>
        </w:rPr>
        <w:t>(Rorty 1989, xvi)</w:t>
      </w:r>
      <w:r>
        <w:rPr>
          <w:rFonts w:eastAsia="Times New Roman"/>
          <w:szCs w:val="24"/>
        </w:rPr>
        <w:fldChar w:fldCharType="end"/>
      </w:r>
      <w:r w:rsidRPr="006D6B9A">
        <w:rPr>
          <w:rFonts w:eastAsia="Times New Roman"/>
          <w:szCs w:val="24"/>
        </w:rPr>
        <w:t xml:space="preserve"> is </w:t>
      </w:r>
      <w:r w:rsidRPr="006D6B9A">
        <w:rPr>
          <w:rFonts w:eastAsia="Times New Roman"/>
          <w:szCs w:val="24"/>
        </w:rPr>
        <w:lastRenderedPageBreak/>
        <w:t>the activity that Rorty argues will allow us to expand our feelings of solidarity a little further.</w:t>
      </w:r>
      <w:r>
        <w:rPr>
          <w:rFonts w:eastAsia="Times New Roman"/>
          <w:szCs w:val="24"/>
        </w:rPr>
        <w:t xml:space="preserve"> Like Hooker’s discursive and structural changes, Rorty’s proposed changes to practice are more abstract than Allen’s practice of friendship or Ferguson’s practice of sharing democracy.</w:t>
      </w:r>
    </w:p>
    <w:p w14:paraId="5AFAA710" w14:textId="77777777" w:rsidR="007110F7" w:rsidRDefault="007110F7" w:rsidP="007110F7">
      <w:pPr>
        <w:spacing w:line="480" w:lineRule="auto"/>
        <w:ind w:firstLine="720"/>
      </w:pPr>
      <w:r>
        <w:t xml:space="preserve">Some of the most convincing elements of the theories of solidarity as practice or common activity that I have described above are 1) the imaginative exercises that ask us to think about others (Arendt’s </w:t>
      </w:r>
      <w:r>
        <w:rPr>
          <w:i/>
        </w:rPr>
        <w:t>sensus communis</w:t>
      </w:r>
      <w:r>
        <w:t>, Rorty’s imagination of the suffering of others, Ferguson’s democracy as an act of sharing) and 2) the embrace of difference (Arendt’s pluralism, Allen’s “wholeness” rather than “oneness,” Rorty’s admission that we will probably not be able to expand “us” to everyone different from ourselves). Theories of solidarity based on practice are also appealing because they are not subject to the same critiques as are theories of solidarity based on characteristics. They are not subject to the critiques of nationalism or of ontological determinism that solidarity-as-characteristics face. And importantly, they also emphasize that solidarity must be sought and cultivated, not automatically found wherever a group of people share similar characteristics or group memberships.</w:t>
      </w:r>
    </w:p>
    <w:p w14:paraId="3B7192A8" w14:textId="3E779C4B" w:rsidR="00ED76E1" w:rsidRDefault="007110F7" w:rsidP="007110F7">
      <w:pPr>
        <w:spacing w:line="480" w:lineRule="auto"/>
        <w:ind w:firstLine="720"/>
      </w:pPr>
      <w:r>
        <w:rPr>
          <w:szCs w:val="24"/>
        </w:rPr>
        <w:t xml:space="preserve">In fact, it seems to me that the real power of solidarity is when it is extended to people who are </w:t>
      </w:r>
      <w:r>
        <w:rPr>
          <w:i/>
          <w:szCs w:val="24"/>
        </w:rPr>
        <w:t>not</w:t>
      </w:r>
      <w:r>
        <w:rPr>
          <w:szCs w:val="24"/>
        </w:rPr>
        <w:t xml:space="preserve"> like us. One common use of the term solidarity is in labor movements, which emphasize building coalition of diverse groups and extending solidarity within and across unions and social movements, as seen in arguments to support another union by not crossing picket lines </w:t>
      </w:r>
      <w:r>
        <w:rPr>
          <w:i/>
          <w:szCs w:val="24"/>
        </w:rPr>
        <w:t>out of solidarity</w:t>
      </w:r>
      <w:r>
        <w:rPr>
          <w:szCs w:val="24"/>
        </w:rPr>
        <w:t>.</w:t>
      </w:r>
      <w:r>
        <w:t xml:space="preserve"> I will now give some background to the Australian context before showing how two memorials to colonial violence in Australia exemplify the idea of solidarity I have been teasing out in this discussion.</w:t>
      </w:r>
    </w:p>
    <w:p w14:paraId="0DB3B5C0" w14:textId="77777777" w:rsidR="007110F7" w:rsidRDefault="007110F7" w:rsidP="007110F7">
      <w:pPr>
        <w:spacing w:line="480" w:lineRule="auto"/>
        <w:ind w:firstLine="720"/>
      </w:pPr>
    </w:p>
    <w:p w14:paraId="5FF7CA09" w14:textId="7758F029" w:rsidR="007732DA" w:rsidRDefault="007732DA" w:rsidP="007732DA">
      <w:pPr>
        <w:pStyle w:val="Heading1"/>
      </w:pPr>
      <w:r w:rsidRPr="00A6579F">
        <w:lastRenderedPageBreak/>
        <w:t>Australian Colonial Violence and its Memorials</w:t>
      </w:r>
    </w:p>
    <w:p w14:paraId="0D7C5F19" w14:textId="77777777" w:rsidR="00ED76E1" w:rsidRDefault="00ED76E1" w:rsidP="00ED76E1"/>
    <w:p w14:paraId="450D1166" w14:textId="6DCA85D0" w:rsidR="00ED76E1" w:rsidRPr="00495281" w:rsidRDefault="00ED76E1" w:rsidP="00ED76E1">
      <w:pPr>
        <w:pStyle w:val="Heading2"/>
      </w:pPr>
      <w:r w:rsidRPr="00495281">
        <w:t>Australian Colonial History</w:t>
      </w:r>
    </w:p>
    <w:p w14:paraId="21614841" w14:textId="77777777" w:rsidR="00ED76E1" w:rsidRPr="00495281" w:rsidRDefault="00ED76E1" w:rsidP="00ED76E1"/>
    <w:p w14:paraId="2C1DA30E" w14:textId="77777777" w:rsidR="00ED76E1" w:rsidRPr="00495281" w:rsidRDefault="00ED76E1" w:rsidP="00ED76E1">
      <w:pPr>
        <w:autoSpaceDE w:val="0"/>
        <w:autoSpaceDN w:val="0"/>
        <w:adjustRightInd w:val="0"/>
        <w:spacing w:line="480" w:lineRule="auto"/>
        <w:contextualSpacing/>
        <w:rPr>
          <w:szCs w:val="24"/>
        </w:rPr>
      </w:pPr>
      <w:r w:rsidRPr="00495281">
        <w:rPr>
          <w:szCs w:val="24"/>
        </w:rPr>
        <w:t>For approximately 60,000 years, hundreds of communities of Indigenous peoples</w:t>
      </w:r>
      <w:r w:rsidRPr="00495281">
        <w:rPr>
          <w:rStyle w:val="FootnoteReference"/>
          <w:szCs w:val="24"/>
        </w:rPr>
        <w:footnoteReference w:id="9"/>
      </w:r>
      <w:r w:rsidRPr="00495281">
        <w:rPr>
          <w:szCs w:val="24"/>
        </w:rPr>
        <w:t xml:space="preserve"> lived in Australia and the Torres Strait Islands. At the time of European arrival, the population was likely up to a million people large and comprised of complex hunter-gather </w:t>
      </w:r>
      <w:r w:rsidRPr="00495281">
        <w:rPr>
          <w:szCs w:val="24"/>
        </w:rPr>
        <w:fldChar w:fldCharType="begin"/>
      </w:r>
      <w:r w:rsidRPr="00495281">
        <w:rPr>
          <w:szCs w:val="24"/>
        </w:rPr>
        <w:instrText xml:space="preserve"> ADDIN ZOTERO_ITEM CSL_CITATION {"citationID":"IACSrhDG","properties":{"formattedCitation":"(Macintyre 2009)","plainCitation":"(Macintyre 2009)","noteIndex":0},"citationItems":[{"id":1223,"uris":["http://zotero.org/users/3096777/items/TLCFILUR"],"uri":["http://zotero.org/users/3096777/items/TLCFILUR"],"itemData":{"id":1223,"type":"book","title":"A Concise History of Australia","publisher":"Cambridge University Press","number-of-pages":"376","source":"Google Books","abstract":"Australia is the last continent to be settled by Europeans, but it also sustains a people and a culture tens of thousands years old. For much of the past 200 years the newcomers have sought to replace the old with the new. This book tells how they imposed themselves on the land, and brought technology, institutions and ideas to make it their own. It relates the advance from penal colony to a prosperous free nation and illustrates how, as a nation created by waves of newcomers, the search for binding traditions was long frustrated by the feeling of rootlessness, until it came to terms with its origins. The third edition of this acclaimed book recounts the key factors - social, economic and political - that have shaped modern-day Australia. It covers the rise and fall of the Howard government, the 2007 election and the apology to the stolen generation. More than ever before, Australians draw on the past to understand their future.","ISBN":"978-0-521-51608-2","note":"Google-Books-ID: jfKcFdz7gF8C","language":"en","author":[{"family":"Macintyre","given":"Stuart"}],"issued":{"date-parts":[["2009",6,29]]}}}],"schema":"https://github.com/citation-style-language/schema/raw/master/csl-citation.json"} </w:instrText>
      </w:r>
      <w:r w:rsidRPr="00495281">
        <w:rPr>
          <w:szCs w:val="24"/>
        </w:rPr>
        <w:fldChar w:fldCharType="separate"/>
      </w:r>
      <w:r w:rsidRPr="00495281">
        <w:rPr>
          <w:noProof/>
          <w:szCs w:val="24"/>
        </w:rPr>
        <w:t>(Macintyre 2009)</w:t>
      </w:r>
      <w:r w:rsidRPr="00495281">
        <w:rPr>
          <w:szCs w:val="24"/>
        </w:rPr>
        <w:fldChar w:fldCharType="end"/>
      </w:r>
      <w:r w:rsidRPr="00495281">
        <w:rPr>
          <w:szCs w:val="24"/>
        </w:rPr>
        <w:t xml:space="preserve"> and horticultural </w:t>
      </w:r>
      <w:r w:rsidRPr="00495281">
        <w:rPr>
          <w:szCs w:val="24"/>
        </w:rPr>
        <w:fldChar w:fldCharType="begin"/>
      </w:r>
      <w:r w:rsidRPr="00495281">
        <w:rPr>
          <w:szCs w:val="24"/>
        </w:rPr>
        <w:instrText xml:space="preserve"> ADDIN ZOTERO_ITEM CSL_CITATION {"citationID":"99SmcGxf","properties":{"formattedCitation":"(Pascoe 2014)","plainCitation":"(Pascoe 2014)","noteIndex":0},"citationItems":[{"id":1221,"uris":["http://zotero.org/users/3096777/items/N77RE94Z"],"uri":["http://zotero.org/users/3096777/items/N77RE94Z"],"itemData":{"id":1221,"type":"book","title":"Dark Emu: Black Seeds : Agriculture Or Accident?","publisher":"Magabala Books","number-of-pages":"173","abstract":"Dark Emu puts forward an argument for a reconsideration of the hunter-gatherer tag for pre-colonial Aboriginal Australians. The evidence insists that Aboriginal people right across the continent were using domesticated plants, sowing, harvesting, irrigating and storing - behaviors inconsistent with the hunter-gatherer tag. Gerritsen and Gammage in their latest books support this premise but Pascoe takes this further and challenges the hunter-gatherer tag as a convenient lie. Almost all the evidence comes from the records and diaries of the Australian explorers, impeccable sources.","ISBN":"978-1-922142-43-6","shortTitle":"Dark Emu","language":"en","author":[{"family":"Pascoe","given":"Bruce"}],"issued":{"date-parts":[["2014"]]}}}],"schema":"https://github.com/citation-style-language/schema/raw/master/csl-citation.json"} </w:instrText>
      </w:r>
      <w:r w:rsidRPr="00495281">
        <w:rPr>
          <w:szCs w:val="24"/>
        </w:rPr>
        <w:fldChar w:fldCharType="separate"/>
      </w:r>
      <w:r w:rsidRPr="00495281">
        <w:rPr>
          <w:noProof/>
          <w:szCs w:val="24"/>
        </w:rPr>
        <w:t>(Pascoe 2014)</w:t>
      </w:r>
      <w:r w:rsidRPr="00495281">
        <w:rPr>
          <w:szCs w:val="24"/>
        </w:rPr>
        <w:fldChar w:fldCharType="end"/>
      </w:r>
      <w:r w:rsidRPr="00495281">
        <w:rPr>
          <w:szCs w:val="24"/>
        </w:rPr>
        <w:t xml:space="preserve"> societies. Dutch explorers “discovered” the continent in the early 17th century but it was the British who settled it, in the late 17th century and throughout the 18th century, as a naval base and penal colony. </w:t>
      </w:r>
    </w:p>
    <w:p w14:paraId="080527D5" w14:textId="77777777" w:rsidR="00ED76E1" w:rsidRPr="00495281" w:rsidRDefault="00ED76E1" w:rsidP="00ED76E1">
      <w:pPr>
        <w:autoSpaceDE w:val="0"/>
        <w:autoSpaceDN w:val="0"/>
        <w:adjustRightInd w:val="0"/>
        <w:spacing w:line="480" w:lineRule="auto"/>
        <w:ind w:firstLine="720"/>
        <w:contextualSpacing/>
        <w:rPr>
          <w:szCs w:val="24"/>
        </w:rPr>
      </w:pPr>
      <w:r w:rsidRPr="00495281">
        <w:rPr>
          <w:szCs w:val="24"/>
        </w:rPr>
        <w:t xml:space="preserve">Until 1868, Britain exported convicts and settlers to various penal and “free” colonies in Australia. As in the Americas, European contact meant contamination with deadly diseases that caused a steady population decline. Settlers seized land and water sources from Indigenous Australians and converted their land for grazing cattle and sheep. They engaged in a campaign of rape and violence against Indigenous women. They exhumed Indigenous skeletons without consent and against communities’ wishes for anthropological purposes. By 1901, when the colonies federated into the Commonwealth of Australia, the Indigenous population had declined significantly, although the Census’ count of 90,000 is likely an underestimate </w:t>
      </w:r>
      <w:r w:rsidRPr="00495281">
        <w:rPr>
          <w:szCs w:val="24"/>
        </w:rPr>
        <w:fldChar w:fldCharType="begin"/>
      </w:r>
      <w:r w:rsidRPr="00495281">
        <w:rPr>
          <w:szCs w:val="24"/>
        </w:rPr>
        <w:instrText xml:space="preserve"> ADDIN ZOTERO_ITEM CSL_CITATION {"citationID":"pc2DJvQH","properties":{"formattedCitation":"(\\uc0\\u8220{}Aboriginal and Torres Strait Islander Population\\uc0\\u8221{} 2002)","plainCitation":"(“Aboriginal and Torres Strait Islander Population” 2002)","noteIndex":0},"citationItems":[{"id":961,"uris":["http://zotero.org/users/3096777/items/UQYFASEM"],"uri":["http://zotero.org/users/3096777/items/UQYFASEM"],"itemData":{"id":961,"type":"webpage","title":"Aboriginal and Torres Strait Islander population","container-title":"Australian Bureau of Statistics","abstract":"This is a summary from publication Aboriginal and Torres Strait Islander population which contains key figures, key points and notes from the publication.","URL":"http://www.abs.gov.au/ausstats/abs@.nsf/94713ad445ff1425ca25682000192af2/bfc28642d31c215cca256b350010b3f4!OpenDocument","language":"en","issued":{"date-parts":[["2002",1,25]]},"accessed":{"date-parts":[["2018",5,24]]}}}],"schema":"https://github.com/citation-style-language/schema/raw/master/csl-citation.json"} </w:instrText>
      </w:r>
      <w:r w:rsidRPr="00495281">
        <w:rPr>
          <w:szCs w:val="24"/>
        </w:rPr>
        <w:fldChar w:fldCharType="separate"/>
      </w:r>
      <w:r w:rsidRPr="00495281">
        <w:rPr>
          <w:szCs w:val="24"/>
        </w:rPr>
        <w:t>(“Aboriginal and Torres Strait Islander Population” 2002)</w:t>
      </w:r>
      <w:r w:rsidRPr="00495281">
        <w:rPr>
          <w:szCs w:val="24"/>
        </w:rPr>
        <w:fldChar w:fldCharType="end"/>
      </w:r>
      <w:r w:rsidRPr="00495281">
        <w:rPr>
          <w:szCs w:val="24"/>
        </w:rPr>
        <w:t>. Policy changes in the early 19</w:t>
      </w:r>
      <w:r w:rsidRPr="00495281">
        <w:rPr>
          <w:szCs w:val="24"/>
          <w:vertAlign w:val="superscript"/>
        </w:rPr>
        <w:t>th</w:t>
      </w:r>
      <w:r w:rsidRPr="00495281">
        <w:rPr>
          <w:szCs w:val="24"/>
        </w:rPr>
        <w:t xml:space="preserve"> century resulted in the end of concentrated settlement regulated by the colonial government and began a free-for-all land grab that resulted in further conflict between Indigenous people and settlers over land </w:t>
      </w:r>
      <w:r w:rsidRPr="00495281">
        <w:rPr>
          <w:szCs w:val="24"/>
        </w:rPr>
        <w:fldChar w:fldCharType="begin"/>
      </w:r>
      <w:r w:rsidRPr="00495281">
        <w:rPr>
          <w:szCs w:val="24"/>
        </w:rPr>
        <w:instrText xml:space="preserve"> ADDIN ZOTERO_ITEM CSL_CITATION {"citationID":"3BoQU8XV","properties":{"formattedCitation":"(Boyce 2013)","plainCitation":"(Boyce 2013)","noteIndex":0},"citationItems":[{"id":1225,"uris":["http://zotero.org/users/3096777/items/5GFRAXTS"],"uri":["http://zotero.org/users/3096777/items/5GFRAXTS"],"itemData":{"id":1225,"type":"book","title":"1835: The Founding of Melbourne &amp; the Conquest of Australia","publisher":"Schwartz Publishing Pty. Ltd","publisher-place":"Melbourne","source":"ProQuest Ebook Central","event-place":"Melbourne","abstract":"Winner of the 2012 Age Book of the Year Award and the 2013 Tasmania Book Prize With the founding of Melbourne in 1835, a flood of settlers began spreading out across the Australian continent. In three years more land – and more people – was conquered than in the preceding fifty. In 1835 James Boyce brings this pivotal moment to life. He traces the power plays in Hobart, Sydney and London, and describes the key personalities of Melbourne’s early days. He conjures up the Australian frontier – its complexity, its rawness and the way its legacy is still with us today. And he asks the poignant question largely ignored for 175 years: could it have been different? With his first book, Van Diemen’s Land, Boyce introduced an utterly fresh approach to the nation’s history. “In re-imagining Australia’s past,” Richard Flanagan wrote, “it invents a new future.” 1835 continues this untold story. ‘Anyone who calls Melbourne home – in fact anyone who calls Australia home – should read this book.’ —Peter Mares ‘An eloquent and thought-provoking book.’ —Australian Book Review ‘1835 is the best book on Australian history I have read since Van Diemen’s Land. James Boyce is on a roll.’ —Good Reading Shortlisted, 2012 Prime Minister’s Literary Award Shortlisted, 2011 West Australian Premier’s Book Awards Shortlisted, 2012 Victorian Premier's Literary Awards Shortlisted, 2012 Queensland Literary Awards James Boyce is the multiple award-winning author of Born Bad, 1835 and Van Diemen’s Land. He has a PhD from the University of Tasmania, where he is an honorary research associate of the School of Geography and Environmental Studies.","URL":"http://ebookcentral.proquest.com/lib/unc/detail.action?docID=1887386","ISBN":"978-1-921870-95-8","shortTitle":"1835","author":[{"family":"Boyce","given":"James"}],"issued":{"date-parts":[["2013"]]},"accessed":{"date-parts":[["2019",3,27]]}}}],"schema":"https://github.com/citation-style-language/schema/raw/master/csl-citation.json"} </w:instrText>
      </w:r>
      <w:r w:rsidRPr="00495281">
        <w:rPr>
          <w:szCs w:val="24"/>
        </w:rPr>
        <w:fldChar w:fldCharType="separate"/>
      </w:r>
      <w:r w:rsidRPr="00495281">
        <w:rPr>
          <w:noProof/>
          <w:szCs w:val="24"/>
        </w:rPr>
        <w:t>(Boyce 2013)</w:t>
      </w:r>
      <w:r w:rsidRPr="00495281">
        <w:rPr>
          <w:szCs w:val="24"/>
        </w:rPr>
        <w:fldChar w:fldCharType="end"/>
      </w:r>
      <w:r w:rsidRPr="00495281">
        <w:rPr>
          <w:szCs w:val="24"/>
        </w:rPr>
        <w:t xml:space="preserve">. </w:t>
      </w:r>
    </w:p>
    <w:p w14:paraId="48D5BE64" w14:textId="77777777" w:rsidR="00ED76E1" w:rsidRPr="00495281" w:rsidRDefault="00ED76E1" w:rsidP="00ED76E1">
      <w:pPr>
        <w:autoSpaceDE w:val="0"/>
        <w:autoSpaceDN w:val="0"/>
        <w:adjustRightInd w:val="0"/>
        <w:spacing w:line="480" w:lineRule="auto"/>
        <w:ind w:firstLine="720"/>
        <w:contextualSpacing/>
        <w:rPr>
          <w:szCs w:val="24"/>
        </w:rPr>
      </w:pPr>
      <w:r w:rsidRPr="00495281">
        <w:rPr>
          <w:szCs w:val="24"/>
        </w:rPr>
        <w:lastRenderedPageBreak/>
        <w:t xml:space="preserve">In addition to land seizure and disease, colonizers inflicted systematic violence against Indigenous peoples. Hundreds of massacres killed at least ten thousand people </w:t>
      </w:r>
      <w:r w:rsidRPr="00495281">
        <w:rPr>
          <w:szCs w:val="24"/>
        </w:rPr>
        <w:fldChar w:fldCharType="begin"/>
      </w:r>
      <w:r w:rsidRPr="00495281">
        <w:rPr>
          <w:szCs w:val="24"/>
        </w:rPr>
        <w:instrText xml:space="preserve"> ADDIN ZOTERO_ITEM CSL_CITATION {"citationID":"4qH1eFiZ","properties":{"formattedCitation":"(Ryan et al. n.d.; Bottoms 2013; Elder 2003)","plainCitation":"(Ryan et al. n.d.; Bottoms 2013; Elder 2003)","noteIndex":0},"citationItems":[{"id":967,"uris":["http://zotero.org/users/3096777/items/J72J4H7I"],"uri":["http://zotero.org/users/3096777/items/J72J4H7I"],"itemData":{"id":967,"type":"webpage","title":"Colonial Frontier Massacres in Central and Eastern Australia 1788-1930","container-title":"Centre For 21st Century Humanities","URL":"https://c21ch.newcastle.edu.au/colonialmassacres/map.php","author":[{"family":"Ryan","given":"Lyndall"},{"family":"Richards","given":"Jonathan"},{"family":"Pascoe","given":"William"},{"family":"Debenham","given":"Jennifer"},{"family":"Brown","given":"Mark"},{"family":"Smith","given":"Robyn"},{"family":"Price","given":"Daniel"},{"family":"Newley","given":"Jack"},{"family":"Anders","given":"Robert J"}],"accessed":{"date-parts":[["2018",5,24]]}}},{"id":1218,"uris":["http://zotero.org/users/3096777/items/6CZ2TAVW"],"uri":["http://zotero.org/users/3096777/items/6CZ2TAVW"],"itemData":{"id":1218,"type":"book","title":"Conspiracy of Silence: Queensland's Frontier Killing Times","publisher":"Allen &amp; Unwin","publisher-place":"Sydney","event-place":"Sydney","author":[{"family":"Bottoms","given":"Timothy"}],"issued":{"date-parts":[["2013"]]}}},{"id":1219,"uris":["http://zotero.org/users/3096777/items/A9DKC7NA"],"uri":["http://zotero.org/users/3096777/items/A9DKC7NA"],"itemData":{"id":1219,"type":"book","title":"Blood on the Wattle: Massacres and Maltreatment of Aboriginal Australians Since 1788","publisher":"New Holland","abstract":"Blood on the Wattle draws together most of the information about the massacres of Aboriginal people which has been recorded in books and journals.Blood on the Wattle draws together, in a single volume, most of the information about the massacres of Aboriginal people which has been recorded in books and journals. It also creates a broad based level of awareness of the scale of the massacres of Aboriginal people so that this dimension of Australian history can become part of the Australian consciousness.","ISBN":"978-1-74110-008-2","author":[{"family":"Elder","given":"Bruce"}],"issued":{"date-parts":[["2003"]]}}}],"schema":"https://github.com/citation-style-language/schema/raw/master/csl-citation.json"} </w:instrText>
      </w:r>
      <w:r w:rsidRPr="00495281">
        <w:rPr>
          <w:szCs w:val="24"/>
        </w:rPr>
        <w:fldChar w:fldCharType="separate"/>
      </w:r>
      <w:r w:rsidRPr="00495281">
        <w:rPr>
          <w:noProof/>
          <w:szCs w:val="24"/>
        </w:rPr>
        <w:t>(Ryan et al. n.d.; Bottoms 2013; Elder 2003)</w:t>
      </w:r>
      <w:r w:rsidRPr="00495281">
        <w:rPr>
          <w:szCs w:val="24"/>
        </w:rPr>
        <w:fldChar w:fldCharType="end"/>
      </w:r>
      <w:r w:rsidRPr="00495281">
        <w:rPr>
          <w:szCs w:val="24"/>
        </w:rPr>
        <w:t xml:space="preserve">, or by some estimates, 20,000 people </w:t>
      </w:r>
      <w:r w:rsidRPr="00495281">
        <w:rPr>
          <w:szCs w:val="24"/>
        </w:rPr>
        <w:fldChar w:fldCharType="begin"/>
      </w:r>
      <w:r w:rsidRPr="00495281">
        <w:rPr>
          <w:szCs w:val="24"/>
        </w:rPr>
        <w:instrText xml:space="preserve"> ADDIN ZOTERO_ITEM CSL_CITATION {"citationID":"ZZIVdjY5","properties":{"formattedCitation":"(Reynolds 2006, 127)","plainCitation":"(Reynolds 2006, 127)","noteIndex":0},"citationItems":[{"id":1229,"uris":["http://zotero.org/users/3096777/items/N2GU6B5W"],"uri":["http://zotero.org/users/3096777/items/N2GU6B5W"],"itemData":{"id":1229,"type":"book","title":"The Other Side of the Frontier: Aboriginal Resistance to the European Invasion of Australia","publisher":"University of New South Wales Press","publisher-place":"Sydney","number-of-pages":"256","source":"Google Books","event-place":"Sydney","abstract":"The publication of this book in 1981 profoundly changed the way in which we understand the history of relations between indigenous Australians and European settlers. It has since become a classic of Australian history. Drawing from documentary and oral evidence, the book describes in meticulous and compelling detail the ways in which Aborigines responded to the arrival of Europeans. Henry Reynolds' argument that the Aborigines resisted fiercely was highly original when it was first published and is no less challenging today.","ISBN":"978-1-74224-049-7","note":"Google-Books-ID: 5UT3CuOmPmEC","shortTitle":"The Other Side of the Frontier","language":"en","author":[{"family":"Reynolds","given":"Henry"}],"issued":{"date-parts":[["2006"]]}},"locator":"127"}],"schema":"https://github.com/citation-style-language/schema/raw/master/csl-citation.json"} </w:instrText>
      </w:r>
      <w:r w:rsidRPr="00495281">
        <w:rPr>
          <w:szCs w:val="24"/>
        </w:rPr>
        <w:fldChar w:fldCharType="separate"/>
      </w:r>
      <w:r w:rsidRPr="00495281">
        <w:rPr>
          <w:noProof/>
          <w:szCs w:val="24"/>
        </w:rPr>
        <w:t>(Reynolds 2006, 127)</w:t>
      </w:r>
      <w:r w:rsidRPr="00495281">
        <w:rPr>
          <w:szCs w:val="24"/>
        </w:rPr>
        <w:fldChar w:fldCharType="end"/>
      </w:r>
      <w:r w:rsidRPr="00495281">
        <w:rPr>
          <w:szCs w:val="24"/>
        </w:rPr>
        <w:t xml:space="preserve">, with a massacre considered to be the killing of at least five or six people to eradicate or impose domination over a population </w:t>
      </w:r>
      <w:r w:rsidRPr="00495281">
        <w:rPr>
          <w:szCs w:val="24"/>
        </w:rPr>
        <w:fldChar w:fldCharType="begin"/>
      </w:r>
      <w:r w:rsidRPr="00495281">
        <w:rPr>
          <w:szCs w:val="24"/>
        </w:rPr>
        <w:instrText xml:space="preserve"> ADDIN ZOTERO_ITEM CSL_CITATION {"citationID":"IiBrkEeP","properties":{"formattedCitation":"(Ryan 2012, 96)","plainCitation":"(Ryan 2012, 96)","noteIndex":0},"citationItems":[{"id":1210,"uris":["http://zotero.org/users/3096777/items/NYQ4PFRM"],"uri":["http://zotero.org/users/3096777/items/NYQ4PFRM"],"itemData":{"id":1210,"type":"chapter","title":"Settler Massacres on the Australian Colonial Frontier, 1836-1851","container-title":"Theatres of Violence : Massacre, Mass Killing and Atrocity Throughout History","publisher":"Berghahn Books","publisher-place":"New York","page":"94-109","event-place":"New York","author":[{"family":"Ryan","given":"Lyndall"}],"issued":{"date-parts":[["2012"]]}},"locator":"96"}],"schema":"https://github.com/citation-style-language/schema/raw/master/csl-citation.json"} </w:instrText>
      </w:r>
      <w:r w:rsidRPr="00495281">
        <w:rPr>
          <w:szCs w:val="24"/>
        </w:rPr>
        <w:fldChar w:fldCharType="separate"/>
      </w:r>
      <w:r w:rsidRPr="00495281">
        <w:rPr>
          <w:noProof/>
          <w:szCs w:val="24"/>
        </w:rPr>
        <w:t>(Ryan 2012, 96)</w:t>
      </w:r>
      <w:r w:rsidRPr="00495281">
        <w:rPr>
          <w:szCs w:val="24"/>
        </w:rPr>
        <w:fldChar w:fldCharType="end"/>
      </w:r>
      <w:r w:rsidRPr="00495281">
        <w:rPr>
          <w:szCs w:val="24"/>
        </w:rPr>
        <w:t xml:space="preserve">. These massacres were carried out illegally by settlers, and they constituted an organized process of decreasing the Indigenous population and using fear to assert dominance. Often, if Aboriginal people killed a white settler or stole their sheep or food, that was grounds for a massacre, characterized by “hunting parties,” ambushes, poisoning of food supplies, or military-style executions </w:t>
      </w:r>
      <w:r w:rsidRPr="00495281">
        <w:rPr>
          <w:szCs w:val="24"/>
        </w:rPr>
        <w:fldChar w:fldCharType="begin"/>
      </w:r>
      <w:r w:rsidRPr="00495281">
        <w:rPr>
          <w:szCs w:val="24"/>
        </w:rPr>
        <w:instrText xml:space="preserve"> ADDIN ZOTERO_ITEM CSL_CITATION {"citationID":"Yk5HFOPu","properties":{"formattedCitation":"(Ryan 2012, 102\\uc0\\u8211{}4)","plainCitation":"(Ryan 2012, 102–4)","noteIndex":0},"citationItems":[{"id":1210,"uris":["http://zotero.org/users/3096777/items/NYQ4PFRM"],"uri":["http://zotero.org/users/3096777/items/NYQ4PFRM"],"itemData":{"id":1210,"type":"chapter","title":"Settler Massacres on the Australian Colonial Frontier, 1836-1851","container-title":"Theatres of Violence : Massacre, Mass Killing and Atrocity Throughout History","publisher":"Berghahn Books","publisher-place":"New York","page":"94-109","event-place":"New York","author":[{"family":"Ryan","given":"Lyndall"}],"issued":{"date-parts":[["2012"]]}},"locator":"102-104"}],"schema":"https://github.com/citation-style-language/schema/raw/master/csl-citation.json"} </w:instrText>
      </w:r>
      <w:r w:rsidRPr="00495281">
        <w:rPr>
          <w:szCs w:val="24"/>
        </w:rPr>
        <w:fldChar w:fldCharType="separate"/>
      </w:r>
      <w:r w:rsidRPr="00495281">
        <w:rPr>
          <w:szCs w:val="24"/>
        </w:rPr>
        <w:t>(Ryan 2012, 102–4)</w:t>
      </w:r>
      <w:r w:rsidRPr="00495281">
        <w:rPr>
          <w:szCs w:val="24"/>
        </w:rPr>
        <w:fldChar w:fldCharType="end"/>
      </w:r>
      <w:r w:rsidRPr="00495281">
        <w:rPr>
          <w:szCs w:val="24"/>
        </w:rPr>
        <w:t>.</w:t>
      </w:r>
    </w:p>
    <w:p w14:paraId="4AF5DC04" w14:textId="2765471C" w:rsidR="00ED76E1" w:rsidRPr="00495281" w:rsidRDefault="00ED76E1" w:rsidP="00ED76E1">
      <w:pPr>
        <w:autoSpaceDE w:val="0"/>
        <w:autoSpaceDN w:val="0"/>
        <w:adjustRightInd w:val="0"/>
        <w:spacing w:line="480" w:lineRule="auto"/>
        <w:ind w:firstLine="720"/>
        <w:contextualSpacing/>
        <w:rPr>
          <w:szCs w:val="24"/>
        </w:rPr>
      </w:pPr>
      <w:r w:rsidRPr="00495281">
        <w:rPr>
          <w:szCs w:val="24"/>
        </w:rPr>
        <w:t xml:space="preserve">The early 20th century saw a program of enclosure, restricted rights, forced assimilation in some cases, and forced segregation in others. There were lynchings of Indigenous people suspected of crimes, exclusions from social welfare programs such as maternity leave and pensions, school segregation programs, restrictions on Indigenous people’s ability to drink or buy alcohol or guns, and expanded powers for Australian and local governments to remove Indigenous children from their families. In the 1930s, the government began a program of forced assimilation for Indigenous peoples already in contact with Australians of European descent began alongside a continued program of segregation for those on reservations. In the mid-20th century, Indigenous activists successfully pushed for Indigenous people’s inclusion in education and other social programs offered to white Australians. Despite continued mistreatment and disenfranchisement, at least 1,000 Indigenous people fought for Australia in the First World War and at least 3,000 in the Second </w:t>
      </w:r>
      <w:r w:rsidRPr="00495281">
        <w:rPr>
          <w:szCs w:val="24"/>
        </w:rPr>
        <w:fldChar w:fldCharType="begin"/>
      </w:r>
      <w:r w:rsidR="008F2679">
        <w:rPr>
          <w:szCs w:val="24"/>
        </w:rPr>
        <w:instrText xml:space="preserve"> ADDIN ZOTERO_ITEM CSL_CITATION {"citationID":"WzCTjo7N","properties":{"formattedCitation":"(Maynard 2018, 91)","plainCitation":"(Maynard 2018, 91)","noteIndex":0},"citationItems":[{"id":1238,"uris":["http://zotero.org/users/3096777/items/HU9AWD2N"],"uri":["http://zotero.org/users/3096777/items/HU9AWD2N"],"itemData":{"id":1238,"type":"chapter","title":"Myall Creek Memories","container-title":"Remembering the Myall Creek Massacre","publisher":"University of New South Wales Press","publisher-place":"Sydney","page":"87-95","event-place":"Sydney","author":[{"family":"Maynard","given":"John"}],"editor":[{"family":"Lydon","given":"Jane"},{"family":"Ryan","given":"Lyndall"}],"issued":{"date-parts":[["2018"]]}},"locator":"91"}],"schema":"https://github.com/citation-style-language/schema/raw/master/csl-citation.json"} </w:instrText>
      </w:r>
      <w:r w:rsidRPr="00495281">
        <w:rPr>
          <w:szCs w:val="24"/>
        </w:rPr>
        <w:fldChar w:fldCharType="separate"/>
      </w:r>
      <w:r w:rsidRPr="00495281">
        <w:rPr>
          <w:noProof/>
          <w:szCs w:val="24"/>
        </w:rPr>
        <w:t>(Maynard 2018, 91)</w:t>
      </w:r>
      <w:r w:rsidRPr="00495281">
        <w:rPr>
          <w:szCs w:val="24"/>
        </w:rPr>
        <w:fldChar w:fldCharType="end"/>
      </w:r>
      <w:r w:rsidRPr="00495281">
        <w:rPr>
          <w:szCs w:val="24"/>
        </w:rPr>
        <w:t xml:space="preserve">. During the Second World War, many Aboriginal people were relocated to camps. A program of forcible removal of tens of thousands of Indigenous children from their families by government and church officials from the 1910s to </w:t>
      </w:r>
      <w:r w:rsidRPr="00495281">
        <w:rPr>
          <w:szCs w:val="24"/>
        </w:rPr>
        <w:lastRenderedPageBreak/>
        <w:t xml:space="preserve">1970s created the “Stolen Generations” </w:t>
      </w:r>
      <w:r w:rsidRPr="00495281">
        <w:rPr>
          <w:szCs w:val="24"/>
        </w:rPr>
        <w:fldChar w:fldCharType="begin"/>
      </w:r>
      <w:r w:rsidRPr="00495281">
        <w:rPr>
          <w:szCs w:val="24"/>
        </w:rPr>
        <w:instrText xml:space="preserve"> ADDIN ZOTERO_ITEM CSL_CITATION {"citationID":"4HX6UNtI","properties":{"formattedCitation":"(\\uc0\\u8220{}Bringing Them Home: Report of the National Inquiry into the Separation of Aboriginal and Torres Strait Islander Children from Their Families\\uc0\\u8221{} 1997)","plainCitation":"(“Bringing Them Home: Report of the National Inquiry into the Separation of Aboriginal and Torres Strait Islander Children from Their Families” 1997)","noteIndex":0},"citationItems":[{"id":1261,"uris":["http://zotero.org/users/3096777/items/HBW83JTR"],"uri":["http://zotero.org/users/3096777/items/HBW83JTR"],"itemData":{"id":1261,"type":"report","title":"Bringing them home: report of the national inquiry into the separation of Aboriginal and Torres Strait Islander children from their families","publisher":"Human Rights and Equal Opportunity Commission","publisher-place":"Sydney","source":"Library of Congress ISBN","event-place":"Sydney","URL":"https://www.humanrights.gov.au/sites/default/files/content/pdf/social_justice/bringing_them_home_report.pdf","call-number":"GN666 .A52 1997","note":"OCLC: ocm37143181","shortTitle":"Bringing them home","language":"en","issued":{"date-parts":[["1997"]]}}}],"schema":"https://github.com/citation-style-language/schema/raw/master/csl-citation.json"} </w:instrText>
      </w:r>
      <w:r w:rsidRPr="00495281">
        <w:rPr>
          <w:szCs w:val="24"/>
        </w:rPr>
        <w:fldChar w:fldCharType="separate"/>
      </w:r>
      <w:r w:rsidRPr="00495281">
        <w:t>(“Bringing Them Home: Report of the National Inquiry into the Separation of Aboriginal and Torres Strait Islander Children from Their Families” 1997)</w:t>
      </w:r>
      <w:r w:rsidRPr="00495281">
        <w:rPr>
          <w:szCs w:val="24"/>
        </w:rPr>
        <w:fldChar w:fldCharType="end"/>
      </w:r>
      <w:r w:rsidRPr="00495281">
        <w:rPr>
          <w:szCs w:val="24"/>
        </w:rPr>
        <w:t>.</w:t>
      </w:r>
    </w:p>
    <w:p w14:paraId="55066F8D" w14:textId="39F60A10" w:rsidR="00ED76E1" w:rsidRDefault="00ED76E1" w:rsidP="00ED76E1">
      <w:pPr>
        <w:autoSpaceDE w:val="0"/>
        <w:autoSpaceDN w:val="0"/>
        <w:adjustRightInd w:val="0"/>
        <w:spacing w:line="480" w:lineRule="auto"/>
        <w:ind w:firstLine="720"/>
        <w:contextualSpacing/>
        <w:rPr>
          <w:szCs w:val="24"/>
        </w:rPr>
      </w:pPr>
      <w:r w:rsidRPr="00495281">
        <w:rPr>
          <w:szCs w:val="24"/>
        </w:rPr>
        <w:t>Inequality and oppression still marked Indigenous people out from white society in the mid-20</w:t>
      </w:r>
      <w:r w:rsidRPr="00495281">
        <w:rPr>
          <w:szCs w:val="24"/>
          <w:vertAlign w:val="superscript"/>
        </w:rPr>
        <w:t>th</w:t>
      </w:r>
      <w:r w:rsidRPr="00495281">
        <w:rPr>
          <w:szCs w:val="24"/>
        </w:rPr>
        <w:t xml:space="preserve"> century; Indigenous students and workers became politically mobilized around poor working conditions, unequal wages, poor health, denial of government services, land rights, and white mining projects on Indigenous land in the 1950s and 1960s. Mid-century reforms gave Indigenous Australians citizenship but left in place state-level legal discrimination </w:t>
      </w:r>
      <w:r w:rsidRPr="00495281">
        <w:rPr>
          <w:szCs w:val="24"/>
        </w:rPr>
        <w:fldChar w:fldCharType="begin"/>
      </w:r>
      <w:r w:rsidRPr="00495281">
        <w:rPr>
          <w:szCs w:val="24"/>
        </w:rPr>
        <w:instrText xml:space="preserve"> ADDIN ZOTERO_ITEM CSL_CITATION {"citationID":"tRQ0Ow3G","properties":{"formattedCitation":"(Irving 2001)","plainCitation":"(Irving 2001)","noteIndex":0},"citationItems":[{"id":1242,"uris":["http://zotero.org/users/3096777/items/FLYAITTK"],"uri":["http://zotero.org/users/3096777/items/FLYAITTK"],"itemData":{"id":1242,"type":"chapter","title":"Citizenship","container-title":"The Oxford Companion to Australian History","publisher":"Oxford University Press","publisher-place":"Oxford","source":"www.oxfordreference.com.libproxy.lib.unc.edu","event-place":"Oxford","abstract":"means, broadly, membership of a political community. Beyond this minimal definition, however, lies much debate. For many decades before it","URL":"http://www.oxfordreference.com/view/10.1093/acref/9780195515039.001.0001/acref-9780195515039-e-317","ISBN":"978-0-19-551503-9","language":"en","author":[{"family":"Irving","given":"Helen"}],"issued":{"date-parts":[["2001"]]},"accessed":{"date-parts":[["2019",3,31]]}}}],"schema":"https://github.com/citation-style-language/schema/raw/master/csl-citation.json"} </w:instrText>
      </w:r>
      <w:r w:rsidRPr="00495281">
        <w:rPr>
          <w:szCs w:val="24"/>
        </w:rPr>
        <w:fldChar w:fldCharType="separate"/>
      </w:r>
      <w:r w:rsidRPr="00495281">
        <w:rPr>
          <w:noProof/>
          <w:szCs w:val="24"/>
        </w:rPr>
        <w:t>(Irving 2001)</w:t>
      </w:r>
      <w:r w:rsidRPr="00495281">
        <w:rPr>
          <w:szCs w:val="24"/>
        </w:rPr>
        <w:fldChar w:fldCharType="end"/>
      </w:r>
      <w:r w:rsidRPr="00495281">
        <w:rPr>
          <w:szCs w:val="24"/>
        </w:rPr>
        <w:t xml:space="preserve">. Other reforms in the 1960s gave all Aboriginal people the vote; gave some compensation and a chance to apply for titles to former lands; ended federal and many states’ discrimination; and counted Indigenous people in the census </w:t>
      </w:r>
      <w:r w:rsidRPr="00495281">
        <w:rPr>
          <w:szCs w:val="24"/>
        </w:rPr>
        <w:fldChar w:fldCharType="begin"/>
      </w:r>
      <w:r w:rsidRPr="00495281">
        <w:rPr>
          <w:szCs w:val="24"/>
        </w:rPr>
        <w:instrText xml:space="preserve"> ADDIN ZOTERO_ITEM CSL_CITATION {"citationID":"fSiVdJTd","properties":{"formattedCitation":"(Keneally 2016, 924; Rowse 2010)","plainCitation":"(Keneally 2016, 924; Rowse 2010)","noteIndex":0},"citationItems":[{"id":1244,"uris":["http://zotero.org/users/3096777/items/YR42FAR7"],"uri":["http://zotero.org/users/3096777/items/YR42FAR7"],"itemData":{"id":1244,"type":"book","title":"Australians: A Short History","publisher":"Allen &amp; Unwin","publisher-place":"Sydney","source":"ProQuest Ebook Central","event-place":"Sydney","URL":"http://ebookcentral.proquest.com/lib/unc/detail.action?docID=4750529","ISBN":"978-1-952535-38-3","shortTitle":"Australians","author":[{"family":"Keneally","given":"Thomas"}],"issued":{"date-parts":[["2016"]]},"accessed":{"date-parts":[["2019",3,31]]}},"locator":"924"},{"id":1249,"uris":["http://zotero.org/users/3096777/items/ASA5XED7"],"uri":["http://zotero.org/users/3096777/items/ASA5XED7"],"itemData":{"id":1249,"type":"article-journal","title":"The Reforming State, the Concerned Public and Indigenous Political Actors","container-title":"Australian Journal of Politics &amp; History","page":"66-81","volume":"56","issue":"1","source":"Crossref","DOI":"10.1111/j.1467-8497.2010.01542.x","ISSN":"00049522","language":"en","author":[{"family":"Rowse","given":"Tim"}],"issued":{"date-parts":[["2010"]]}}}],"schema":"https://github.com/citation-style-language/schema/raw/master/csl-citation.json"} </w:instrText>
      </w:r>
      <w:r w:rsidRPr="00495281">
        <w:rPr>
          <w:szCs w:val="24"/>
        </w:rPr>
        <w:fldChar w:fldCharType="separate"/>
      </w:r>
      <w:r w:rsidRPr="00495281">
        <w:rPr>
          <w:noProof/>
          <w:szCs w:val="24"/>
        </w:rPr>
        <w:t>(Keneally 2016, 924; Rowse 2010)</w:t>
      </w:r>
      <w:r w:rsidRPr="00495281">
        <w:rPr>
          <w:szCs w:val="24"/>
        </w:rPr>
        <w:fldChar w:fldCharType="end"/>
      </w:r>
      <w:r w:rsidRPr="00495281">
        <w:rPr>
          <w:szCs w:val="24"/>
        </w:rPr>
        <w:t xml:space="preserve">. Land rights disputes continued throughout the 1970s to today, with the Australian government giving back some land and sacred sites such as Uluru (an important sandstone formation in Northern Australia) and finally recognizing Indigenous native titles to land to pre-date European colonization in the 1990s and early 2000s. The High Court of </w:t>
      </w:r>
      <w:r w:rsidR="00316B19" w:rsidRPr="00495281">
        <w:rPr>
          <w:szCs w:val="24"/>
        </w:rPr>
        <w:t>Australia’s</w:t>
      </w:r>
      <w:r w:rsidRPr="00495281">
        <w:rPr>
          <w:szCs w:val="24"/>
        </w:rPr>
        <w:t xml:space="preserve"> decision in </w:t>
      </w:r>
      <w:r w:rsidRPr="00495281">
        <w:rPr>
          <w:i/>
          <w:szCs w:val="24"/>
        </w:rPr>
        <w:t>Mabo v. Queensland (No. 20)</w:t>
      </w:r>
      <w:r w:rsidRPr="00495281">
        <w:rPr>
          <w:szCs w:val="24"/>
        </w:rPr>
        <w:t xml:space="preserve"> in 1992 overturned the 200-year doctrine of </w:t>
      </w:r>
      <w:r w:rsidRPr="00495281">
        <w:rPr>
          <w:i/>
          <w:szCs w:val="24"/>
        </w:rPr>
        <w:t>terra nullius</w:t>
      </w:r>
      <w:r w:rsidRPr="00495281">
        <w:rPr>
          <w:szCs w:val="24"/>
        </w:rPr>
        <w:t xml:space="preserve"> (the assumption that the land was empty and owned by no one) and reinstated Indigenous land rights. After </w:t>
      </w:r>
      <w:r w:rsidRPr="00495281">
        <w:rPr>
          <w:i/>
          <w:szCs w:val="24"/>
        </w:rPr>
        <w:t>Mabo</w:t>
      </w:r>
      <w:r w:rsidRPr="00495281">
        <w:rPr>
          <w:szCs w:val="24"/>
        </w:rPr>
        <w:t xml:space="preserve"> the Indigenous Land Corporation began buying and transferring to Indigenous people hundreds of properties covering tens of millions of acres </w:t>
      </w:r>
      <w:r w:rsidRPr="00495281">
        <w:rPr>
          <w:szCs w:val="24"/>
        </w:rPr>
        <w:fldChar w:fldCharType="begin"/>
      </w:r>
      <w:r w:rsidRPr="00495281">
        <w:rPr>
          <w:szCs w:val="24"/>
        </w:rPr>
        <w:instrText xml:space="preserve"> ADDIN ZOTERO_ITEM CSL_CITATION {"citationID":"qguYhO4W","properties":{"formattedCitation":"(Goodall 2001)","plainCitation":"(Goodall 2001)","noteIndex":0},"citationItems":[{"id":1246,"uris":["http://zotero.org/users/3096777/items/WDL3CGJG"],"uri":["http://zotero.org/users/3096777/items/WDL3CGJG"],"itemData":{"id":1246,"type":"chapter","title":"Aboriginal land rights","container-title":"The Oxford Companion to Australian History","publisher":"Oxford University Press","publisher-place":"Oxford","source":"www.oxfordreference.com.libproxy.lib.unc.edu","event-place":"Oxford","abstract":"traditionally arose for men and women both from inheritance and from fulfilment of their particular obligations. Land was the structuring","URL":"http://www.oxfordreference.com/view/10.1093/acref/9780195515039.001.0001/acref-9780195515039-e-6","ISBN":"978-0-19-551503-9","language":"en","author":[{"family":"Goodall","given":"Heather"}],"issued":{"date-parts":[["2001"]]},"accessed":{"date-parts":[["2019",3,31]]}}}],"schema":"https://github.com/citation-style-language/schema/raw/master/csl-citation.json"} </w:instrText>
      </w:r>
      <w:r w:rsidRPr="00495281">
        <w:rPr>
          <w:szCs w:val="24"/>
        </w:rPr>
        <w:fldChar w:fldCharType="separate"/>
      </w:r>
      <w:r w:rsidRPr="00495281">
        <w:rPr>
          <w:noProof/>
          <w:szCs w:val="24"/>
        </w:rPr>
        <w:t>(Goodall 2001)</w:t>
      </w:r>
      <w:r w:rsidRPr="00495281">
        <w:rPr>
          <w:szCs w:val="24"/>
        </w:rPr>
        <w:fldChar w:fldCharType="end"/>
      </w:r>
      <w:r w:rsidRPr="00495281">
        <w:rPr>
          <w:szCs w:val="24"/>
        </w:rPr>
        <w:t xml:space="preserve">. </w:t>
      </w:r>
    </w:p>
    <w:p w14:paraId="4E885673" w14:textId="4DA2ADBE" w:rsidR="00DA3473" w:rsidRDefault="00ED651C" w:rsidP="00ED651C">
      <w:pPr>
        <w:pStyle w:val="Heading2"/>
      </w:pPr>
      <w:r>
        <w:t>Reconciliation and the Fight for Recognition</w:t>
      </w:r>
    </w:p>
    <w:p w14:paraId="74F02185" w14:textId="77777777" w:rsidR="00ED651C" w:rsidRPr="00ED651C" w:rsidRDefault="00ED651C" w:rsidP="00ED651C"/>
    <w:p w14:paraId="72F255DA" w14:textId="77777777" w:rsidR="00ED76E1" w:rsidRPr="00495281" w:rsidRDefault="00ED76E1" w:rsidP="00ED76E1">
      <w:pPr>
        <w:autoSpaceDE w:val="0"/>
        <w:autoSpaceDN w:val="0"/>
        <w:adjustRightInd w:val="0"/>
        <w:spacing w:line="480" w:lineRule="auto"/>
        <w:ind w:firstLine="720"/>
        <w:contextualSpacing/>
        <w:rPr>
          <w:szCs w:val="24"/>
        </w:rPr>
      </w:pPr>
      <w:r w:rsidRPr="00495281">
        <w:rPr>
          <w:szCs w:val="24"/>
        </w:rPr>
        <w:t xml:space="preserve">Throughout the end of the 20th century and early 21st century, the government launched several programs attempting reconciliation between Indigenous peoples and the Australian government. Resistance and demands for recognition escalated in the 1970s, including the </w:t>
      </w:r>
      <w:r w:rsidRPr="00495281">
        <w:rPr>
          <w:szCs w:val="24"/>
        </w:rPr>
        <w:lastRenderedPageBreak/>
        <w:t xml:space="preserve">Aboriginal Tent Embassy, a protest site that has been demanding land rights for Indigenous peoples since its erection in 1972 </w:t>
      </w:r>
      <w:r w:rsidRPr="00495281">
        <w:rPr>
          <w:szCs w:val="24"/>
        </w:rPr>
        <w:fldChar w:fldCharType="begin"/>
      </w:r>
      <w:r w:rsidRPr="00495281">
        <w:rPr>
          <w:szCs w:val="24"/>
        </w:rPr>
        <w:instrText xml:space="preserve"> ADDIN ZOTERO_ITEM CSL_CITATION {"citationID":"tDVq8ZKd","properties":{"formattedCitation":"(Robinson 2014)","plainCitation":"(Robinson 2014)","noteIndex":0},"citationItems":[{"id":1233,"uris":["http://zotero.org/users/3096777/items/I9D78IHF"],"uri":["http://zotero.org/users/3096777/items/I9D78IHF"],"itemData":{"id":1233,"type":"chapter","title":"The Aboriginal Embassy: an account of the protests of 1972","container-title":"The Aboriginal Tent Embassy: Sovereignty, Black Power, Landrights and the State","publisher":"Routledge","publisher-place":"New York","page":"3-21","event-place":"New York","author":[{"family":"Robinson","given":"Scott"}],"editor":[{"family":"Foley","given":"Gary"},{"family":"Schaap","given":"Andrew"},{"family":"Howell","given":"Edwina"}],"issued":{"date-parts":[["2014"]]}}}],"schema":"https://github.com/citation-style-language/schema/raw/master/csl-citation.json"} </w:instrText>
      </w:r>
      <w:r w:rsidRPr="00495281">
        <w:rPr>
          <w:szCs w:val="24"/>
        </w:rPr>
        <w:fldChar w:fldCharType="separate"/>
      </w:r>
      <w:r w:rsidRPr="00495281">
        <w:rPr>
          <w:noProof/>
          <w:szCs w:val="24"/>
        </w:rPr>
        <w:t>(Robinson 2014)</w:t>
      </w:r>
      <w:r w:rsidRPr="00495281">
        <w:rPr>
          <w:szCs w:val="24"/>
        </w:rPr>
        <w:fldChar w:fldCharType="end"/>
      </w:r>
      <w:r w:rsidRPr="00495281">
        <w:rPr>
          <w:szCs w:val="24"/>
        </w:rPr>
        <w:t xml:space="preserve">. </w:t>
      </w:r>
    </w:p>
    <w:p w14:paraId="55D48009" w14:textId="77777777" w:rsidR="00ED76E1" w:rsidRPr="00495281" w:rsidRDefault="00ED76E1" w:rsidP="00ED76E1">
      <w:pPr>
        <w:pStyle w:val="Caption"/>
        <w:rPr>
          <w:color w:val="000000" w:themeColor="text1"/>
          <w:szCs w:val="24"/>
        </w:rPr>
      </w:pPr>
      <w:r w:rsidRPr="00495281">
        <w:rPr>
          <w:color w:val="000000" w:themeColor="text1"/>
        </w:rPr>
        <w:t xml:space="preserve">Figure </w:t>
      </w:r>
      <w:r w:rsidRPr="00495281">
        <w:rPr>
          <w:color w:val="000000" w:themeColor="text1"/>
        </w:rPr>
        <w:fldChar w:fldCharType="begin"/>
      </w:r>
      <w:r w:rsidRPr="00495281">
        <w:rPr>
          <w:color w:val="000000" w:themeColor="text1"/>
        </w:rPr>
        <w:instrText xml:space="preserve"> SEQ Figure \* ARABIC </w:instrText>
      </w:r>
      <w:r w:rsidRPr="00495281">
        <w:rPr>
          <w:color w:val="000000" w:themeColor="text1"/>
        </w:rPr>
        <w:fldChar w:fldCharType="separate"/>
      </w:r>
      <w:r w:rsidRPr="00495281">
        <w:rPr>
          <w:noProof/>
          <w:color w:val="000000" w:themeColor="text1"/>
        </w:rPr>
        <w:t>1</w:t>
      </w:r>
      <w:r w:rsidRPr="00495281">
        <w:rPr>
          <w:color w:val="000000" w:themeColor="text1"/>
        </w:rPr>
        <w:fldChar w:fldCharType="end"/>
      </w:r>
      <w:r w:rsidRPr="00495281">
        <w:rPr>
          <w:color w:val="000000" w:themeColor="text1"/>
        </w:rPr>
        <w:t xml:space="preserve"> - The Aboriginal Tent Embassy</w:t>
      </w:r>
      <w:r w:rsidRPr="00495281">
        <w:rPr>
          <w:noProof/>
          <w:color w:val="000000" w:themeColor="text1"/>
          <w:szCs w:val="24"/>
        </w:rPr>
        <w:drawing>
          <wp:anchor distT="0" distB="0" distL="114300" distR="114300" simplePos="0" relativeHeight="251662336" behindDoc="0" locked="0" layoutInCell="1" allowOverlap="1" wp14:anchorId="19C237C6" wp14:editId="4AE25DC7">
            <wp:simplePos x="0" y="0"/>
            <wp:positionH relativeFrom="margin">
              <wp:align>center</wp:align>
            </wp:positionH>
            <wp:positionV relativeFrom="paragraph">
              <wp:posOffset>0</wp:posOffset>
            </wp:positionV>
            <wp:extent cx="5943314" cy="284480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95.jpeg"/>
                    <pic:cNvPicPr/>
                  </pic:nvPicPr>
                  <pic:blipFill rotWithShape="1">
                    <a:blip r:embed="rId8" cstate="print">
                      <a:extLst>
                        <a:ext uri="{28A0092B-C50C-407E-A947-70E740481C1C}">
                          <a14:useLocalDpi xmlns:a14="http://schemas.microsoft.com/office/drawing/2010/main" val="0"/>
                        </a:ext>
                      </a:extLst>
                    </a:blip>
                    <a:srcRect t="19270" b="16910"/>
                    <a:stretch/>
                  </pic:blipFill>
                  <pic:spPr bwMode="auto">
                    <a:xfrm>
                      <a:off x="0" y="0"/>
                      <a:ext cx="5943314" cy="2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0AC37" w14:textId="77777777" w:rsidR="00ED76E1" w:rsidRPr="00495281" w:rsidRDefault="00ED76E1" w:rsidP="00ED76E1">
      <w:pPr>
        <w:autoSpaceDE w:val="0"/>
        <w:autoSpaceDN w:val="0"/>
        <w:adjustRightInd w:val="0"/>
        <w:spacing w:line="480" w:lineRule="auto"/>
        <w:contextualSpacing/>
        <w:rPr>
          <w:szCs w:val="24"/>
        </w:rPr>
      </w:pPr>
      <w:r w:rsidRPr="00495281">
        <w:rPr>
          <w:szCs w:val="24"/>
        </w:rPr>
        <w:t xml:space="preserve">In 1999, Parliament, under Prime Minister John Howard, passed a Motion of Reconciliation but Howard refused to formally apologize, worried that the leftist multicultural “black armband” narrative of Australian history would chip away at national unity and pride. The federal government under Prime Minister Kevin Rudd formally apologized for the forcible removals resulting in the Stolen Generations in 2008. </w:t>
      </w:r>
    </w:p>
    <w:p w14:paraId="4D72CBEB" w14:textId="4AB2DC96" w:rsidR="00ED76E1" w:rsidRPr="00495281" w:rsidRDefault="00ED76E1" w:rsidP="00ED76E1">
      <w:pPr>
        <w:autoSpaceDE w:val="0"/>
        <w:autoSpaceDN w:val="0"/>
        <w:adjustRightInd w:val="0"/>
        <w:spacing w:line="480" w:lineRule="auto"/>
        <w:ind w:firstLine="720"/>
        <w:contextualSpacing/>
        <w:rPr>
          <w:szCs w:val="24"/>
        </w:rPr>
      </w:pPr>
      <w:r w:rsidRPr="00495281">
        <w:rPr>
          <w:szCs w:val="24"/>
        </w:rPr>
        <w:t>The brutality of colonial history was largely ignored by historians and grade schools for much of the 20</w:t>
      </w:r>
      <w:r w:rsidRPr="00495281">
        <w:rPr>
          <w:szCs w:val="24"/>
          <w:vertAlign w:val="superscript"/>
        </w:rPr>
        <w:t>th</w:t>
      </w:r>
      <w:r w:rsidRPr="00495281">
        <w:rPr>
          <w:szCs w:val="24"/>
        </w:rPr>
        <w:t xml:space="preserve"> century, when “everyone knew that, while war was important, Australians went away to the other side of the world to engage in it” </w:t>
      </w:r>
      <w:r w:rsidRPr="00495281">
        <w:rPr>
          <w:szCs w:val="24"/>
        </w:rPr>
        <w:fldChar w:fldCharType="begin"/>
      </w:r>
      <w:r w:rsidRPr="00495281">
        <w:rPr>
          <w:szCs w:val="24"/>
        </w:rPr>
        <w:instrText xml:space="preserve"> ADDIN ZOTERO_ITEM CSL_CITATION {"citationID":"tjSkGbpq","properties":{"formattedCitation":"(Reynolds 2013, 19)","plainCitation":"(Reynolds 2013, 19)","noteIndex":0},"citationItems":[{"id":1227,"uris":["http://zotero.org/users/3096777/items/DFNQI673"],"uri":["http://zotero.org/users/3096777/items/DFNQI673"],"itemData":{"id":1227,"type":"book","title":"Forgotten War","publisher":"University of New South Wales Press","publisher-place":"Sydney","source":"ProQuest Ebook Central","event-place":"Sydney","abstract":"Australia is dotted with memorials to soldiers who fought in wars overseas, but there are no official commemorations of the battles fought on Australian soil between Aborigines and white colonists. Delving into why it is more controversial to talk about the frontier war now than it was 100 years ago, Forgotten War continues the story told in Henry Reynolds’ seminal book The Other Side of the Frontier, which argues that the settlement of Australia had a high level of violence and conflict that people chose to ignore. That book prompted a flowering of research and fieldwork that Reynolds draws on here to give a thorough and systematic account of what caused the frontier wars, how many people died, and whether the colonists themselves saw frontier conflict as a form of warfare. This powerful book makes it clear that there can be no reconciliation in Australia without acknowledging the wars fought on its own soil.","URL":"http://ebookcentral.proquest.com/lib/unc/detail.action?docID=1340908","ISBN":"978-1-74224-649-9","author":[{"family":"Reynolds","given":"Henry"}],"issued":{"date-parts":[["2013"]]},"accessed":{"date-parts":[["2019",3,27]]}},"locator":"19"}],"schema":"https://github.com/citation-style-language/schema/raw/master/csl-citation.json"} </w:instrText>
      </w:r>
      <w:r w:rsidRPr="00495281">
        <w:rPr>
          <w:szCs w:val="24"/>
        </w:rPr>
        <w:fldChar w:fldCharType="separate"/>
      </w:r>
      <w:r w:rsidRPr="00495281">
        <w:rPr>
          <w:noProof/>
          <w:szCs w:val="24"/>
        </w:rPr>
        <w:t>(Reynolds 2013, 19)</w:t>
      </w:r>
      <w:r w:rsidRPr="00495281">
        <w:rPr>
          <w:szCs w:val="24"/>
        </w:rPr>
        <w:fldChar w:fldCharType="end"/>
      </w:r>
      <w:r w:rsidRPr="00495281">
        <w:rPr>
          <w:szCs w:val="24"/>
        </w:rPr>
        <w:t xml:space="preserve">. It was not until the 1990s that scholars really began to document colonial massacres of Indigenous Australians </w:t>
      </w:r>
      <w:r w:rsidRPr="00495281">
        <w:rPr>
          <w:szCs w:val="24"/>
        </w:rPr>
        <w:fldChar w:fldCharType="begin"/>
      </w:r>
      <w:r w:rsidRPr="00495281">
        <w:rPr>
          <w:szCs w:val="24"/>
        </w:rPr>
        <w:instrText xml:space="preserve"> ADDIN ZOTERO_ITEM CSL_CITATION {"citationID":"CcFACW93","properties":{"formattedCitation":"(Ryan 2012)","plainCitation":"(Ryan 2012)","noteIndex":0},"citationItems":[{"id":1210,"uris":["http://zotero.org/users/3096777/items/NYQ4PFRM"],"uri":["http://zotero.org/users/3096777/items/NYQ4PFRM"],"itemData":{"id":1210,"type":"chapter","title":"Settler Massacres on the Australian Colonial Frontier, 1836-1851","container-title":"Theatres of Violence : Massacre, Mass Killing and Atrocity Throughout History","publisher":"Berghahn Books","publisher-place":"New York","page":"94-109","event-place":"New York","author":[{"family":"Ryan","given":"Lyndall"}],"issued":{"date-parts":[["2012"]]}}}],"schema":"https://github.com/citation-style-language/schema/raw/master/csl-citation.json"} </w:instrText>
      </w:r>
      <w:r w:rsidRPr="00495281">
        <w:rPr>
          <w:szCs w:val="24"/>
        </w:rPr>
        <w:fldChar w:fldCharType="separate"/>
      </w:r>
      <w:r w:rsidRPr="00495281">
        <w:rPr>
          <w:noProof/>
          <w:szCs w:val="24"/>
        </w:rPr>
        <w:t>(Ryan 2012)</w:t>
      </w:r>
      <w:r w:rsidRPr="00495281">
        <w:rPr>
          <w:szCs w:val="24"/>
        </w:rPr>
        <w:fldChar w:fldCharType="end"/>
      </w:r>
      <w:r w:rsidRPr="00495281">
        <w:rPr>
          <w:szCs w:val="24"/>
        </w:rPr>
        <w:t>. The “History Wars” debates that emerged in the late 20</w:t>
      </w:r>
      <w:r w:rsidRPr="00495281">
        <w:rPr>
          <w:szCs w:val="24"/>
          <w:vertAlign w:val="superscript"/>
        </w:rPr>
        <w:t>th</w:t>
      </w:r>
      <w:r w:rsidRPr="00495281">
        <w:rPr>
          <w:szCs w:val="24"/>
        </w:rPr>
        <w:t xml:space="preserve"> century split scholars who favor calling colonial violence “genocide” </w:t>
      </w:r>
      <w:r w:rsidRPr="00495281">
        <w:rPr>
          <w:szCs w:val="24"/>
        </w:rPr>
        <w:fldChar w:fldCharType="begin"/>
      </w:r>
      <w:r w:rsidRPr="00495281">
        <w:rPr>
          <w:szCs w:val="24"/>
        </w:rPr>
        <w:instrText xml:space="preserve"> ADDIN ZOTERO_ITEM CSL_CITATION {"citationID":"ZEmZUTE3","properties":{"formattedCitation":"(Dwyer and Ryan 2016; Neath and Andrew 2018; Tedeschi 2018)","plainCitation":"(Dwyer and Ryan 2016; Neath and Andrew 2018; Tedeschi 2018)","noteIndex":0},"citationItems":[{"id":1214,"uris":["http://zotero.org/users/3096777/items/2S63T2YE"],"uri":["http://zotero.org/users/3096777/items/2S63T2YE"],"itemData":{"id":1214,"type":"article-journal","title":"Reflections on genocide and settler-colonial violence","container-title":"History Australia","page":"335-350","volume":"13","issue":"3","source":"Crossref","abstract":"The debate about whether genocide took place on the Australian colonial frontier began more than thirty years ago and appears to have reached an intellectual impasse. How then did the debate begin in Australia, how did it gain traction and why does it appear more vigorous in Australia than in other settler societies? To explore these questions, this paper places the debate within a larger context, firstly by comparing the Australian debate with those taking place in other similar British settler societies and then considering the ways European historians have invoked genocide discourse to explore nationalist histories. In taking this approach the paper reveals the different ways genocide discourse has been used to make sense of traumatic pasts in different regions of the world and how it has become part of the discussions about national identity. Finally in an attempt to overcome the intellectual impasse about the genocide debate in Australia, the paper offers a few suggestions that may give historians of the colonial frontier a way forward.","DOI":"10.1080/14490854.2016.1202336","ISSN":"1449-0854, 1833-4881","language":"en","author":[{"family":"Dwyer","given":"Philip"},{"family":"Ryan","given":"Lyndall"}],"issued":{"date-parts":[["2016"]]}}},{"id":1234,"uris":["http://zotero.org/users/3096777/items/A4JKV2PH"],"uri":["http://zotero.org/users/3096777/items/A4JKV2PH"],"itemData":{"id":1234,"type":"chapter","title":"Walking on bones","container-title":"Remembering the Myall Creek Massacre","publisher":"University of New South Wales Press","publisher-place":"Chicago","page":"96-112","source":"ProQuest Ebook Central","event-place":"Chicago","URL":"http://ebookcentral.proquest.com/lib/unc/detail.action?docID=5527926","ISBN":"978-1-74224-419-8","author":[{"family":"Neath","given":"Jessica"},{"family":"Andrew","given":"Brook"}],"editor":[{"family":"Lydon","given":"Jane"},{"family":"Ryan","given":"Lyndall"}],"issued":{"date-parts":[["2018"]]},"accessed":{"date-parts":[["2019",3,30]]}}},{"id":1236,"uris":["http://zotero.org/users/3096777/items/CTF7DB8R"],"uri":["http://zotero.org/users/3096777/items/CTF7DB8R"],"itemData":{"id":1236,"type":"chapter","title":"Afterword","container-title":"Remembering the Myall Creek Massacre","publisher":"University of New South Wales Press","publisher-place":"Sydney","page":"113-116","event-place":"Sydney","author":[{"family":"Tedeschi","given":"Mark"}],"editor":[{"family":"Lydon","given":"Jane"},{"family":"Ryan","given":"Lyndall"}],"issued":{"date-parts":[["2018"]]}}}],"schema":"https://github.com/citation-style-language/schema/raw/master/csl-citation.json"} </w:instrText>
      </w:r>
      <w:r w:rsidRPr="00495281">
        <w:rPr>
          <w:szCs w:val="24"/>
        </w:rPr>
        <w:fldChar w:fldCharType="separate"/>
      </w:r>
      <w:r w:rsidRPr="00495281">
        <w:rPr>
          <w:noProof/>
          <w:szCs w:val="24"/>
        </w:rPr>
        <w:t>(Dwyer and Ryan 2016; Neath and Andrew 2018; Tedeschi 2018)</w:t>
      </w:r>
      <w:r w:rsidRPr="00495281">
        <w:rPr>
          <w:szCs w:val="24"/>
        </w:rPr>
        <w:fldChar w:fldCharType="end"/>
      </w:r>
      <w:r w:rsidRPr="00495281">
        <w:rPr>
          <w:szCs w:val="24"/>
        </w:rPr>
        <w:t xml:space="preserve"> and those who prefer calling it a “war” </w:t>
      </w:r>
      <w:r w:rsidRPr="00495281">
        <w:rPr>
          <w:szCs w:val="24"/>
        </w:rPr>
        <w:fldChar w:fldCharType="begin"/>
      </w:r>
      <w:r w:rsidRPr="00495281">
        <w:rPr>
          <w:szCs w:val="24"/>
        </w:rPr>
        <w:instrText xml:space="preserve"> ADDIN ZOTERO_ITEM CSL_CITATION {"citationID":"4m3LnhAp","properties":{"formattedCitation":"(Reynolds 2013)","plainCitation":"(Reynolds 2013)","noteIndex":0},"citationItems":[{"id":1227,"uris":["http://zotero.org/users/3096777/items/DFNQI673"],"uri":["http://zotero.org/users/3096777/items/DFNQI673"],"itemData":{"id":1227,"type":"book","title":"Forgotten War","publisher":"University of New South Wales Press","publisher-place":"Sydney","source":"ProQuest Ebook Central","event-place":"Sydney","abstract":"Australia is dotted with memorials to soldiers who fought in wars overseas, but there are no official commemorations of the battles fought on Australian soil between Aborigines and white colonists. Delving into why it is more controversial to talk about the frontier war now than it was 100 years ago, Forgotten War continues the story told in Henry Reynolds’ seminal book The Other Side of the Frontier, which argues that the settlement of Australia had a high level of violence and conflict that people chose to ignore. That book prompted a flowering of research and fieldwork that Reynolds draws on here to give a thorough and systematic account of what caused the frontier wars, how many people died, and whether the colonists themselves saw frontier conflict as a form of warfare. This powerful book makes it clear that there can be no reconciliation in Australia without acknowledging the wars fought on its own soil.","URL":"http://ebookcentral.proquest.com/lib/unc/detail.action?docID=1340908","ISBN":"978-1-74224-649-9","author":[{"family":"Reynolds","given":"Henry"}],"issued":{"date-parts":[["2013"]]},"accessed":{"date-parts":[["2019",3,27]]}}}],"schema":"https://github.com/citation-style-language/schema/raw/master/csl-citation.json"} </w:instrText>
      </w:r>
      <w:r w:rsidRPr="00495281">
        <w:rPr>
          <w:szCs w:val="24"/>
        </w:rPr>
        <w:fldChar w:fldCharType="separate"/>
      </w:r>
      <w:r w:rsidRPr="00495281">
        <w:rPr>
          <w:noProof/>
          <w:szCs w:val="24"/>
        </w:rPr>
        <w:t>(Reynolds 2013)</w:t>
      </w:r>
      <w:r w:rsidRPr="00495281">
        <w:rPr>
          <w:szCs w:val="24"/>
        </w:rPr>
        <w:fldChar w:fldCharType="end"/>
      </w:r>
      <w:r w:rsidRPr="00495281">
        <w:rPr>
          <w:szCs w:val="24"/>
        </w:rPr>
        <w:t xml:space="preserve">, as well as those who </w:t>
      </w:r>
      <w:r w:rsidRPr="00495281">
        <w:rPr>
          <w:szCs w:val="24"/>
        </w:rPr>
        <w:lastRenderedPageBreak/>
        <w:t xml:space="preserve">favor the “Aboriginal resistance model” </w:t>
      </w:r>
      <w:r w:rsidRPr="00495281">
        <w:rPr>
          <w:szCs w:val="24"/>
        </w:rPr>
        <w:fldChar w:fldCharType="begin"/>
      </w:r>
      <w:r w:rsidRPr="00495281">
        <w:rPr>
          <w:szCs w:val="24"/>
        </w:rPr>
        <w:instrText xml:space="preserve"> ADDIN ZOTERO_ITEM CSL_CITATION {"citationID":"SCy3Vxq9","properties":{"formattedCitation":"(Reynolds 2006, 2013)","plainCitation":"(Reynolds 2006, 2013)","noteIndex":0},"citationItems":[{"id":1229,"uris":["http://zotero.org/users/3096777/items/N2GU6B5W"],"uri":["http://zotero.org/users/3096777/items/N2GU6B5W"],"itemData":{"id":1229,"type":"book","title":"The Other Side of the Frontier: Aboriginal Resistance to the European Invasion of Australia","publisher":"University of New South Wales Press","publisher-place":"Sydney","number-of-pages":"256","source":"Google Books","event-place":"Sydney","abstract":"The publication of this book in 1981 profoundly changed the way in which we understand the history of relations between indigenous Australians and European settlers. It has since become a classic of Australian history. Drawing from documentary and oral evidence, the book describes in meticulous and compelling detail the ways in which Aborigines responded to the arrival of Europeans. Henry Reynolds' argument that the Aborigines resisted fiercely was highly original when it was first published and is no less challenging today.","ISBN":"978-1-74224-049-7","note":"Google-Books-ID: 5UT3CuOmPmEC","shortTitle":"The Other Side of the Frontier","language":"en","author":[{"family":"Reynolds","given":"Henry"}],"issued":{"date-parts":[["2006"]]}}},{"id":1227,"uris":["http://zotero.org/users/3096777/items/DFNQI673"],"uri":["http://zotero.org/users/3096777/items/DFNQI673"],"itemData":{"id":1227,"type":"book","title":"Forgotten War","publisher":"University of New South Wales Press","publisher-place":"Sydney","source":"ProQuest Ebook Central","event-place":"Sydney","abstract":"Australia is dotted with memorials to soldiers who fought in wars overseas, but there are no official commemorations of the battles fought on Australian soil between Aborigines and white colonists. Delving into why it is more controversial to talk about the frontier war now than it was 100 years ago, Forgotten War continues the story told in Henry Reynolds’ seminal book The Other Side of the Frontier, which argues that the settlement of Australia had a high level of violence and conflict that people chose to ignore. That book prompted a flowering of research and fieldwork that Reynolds draws on here to give a thorough and systematic account of what caused the frontier wars, how many people died, and whether the colonists themselves saw frontier conflict as a form of warfare. This powerful book makes it clear that there can be no reconciliation in Australia without acknowledging the wars fought on its own soil.","URL":"http://ebookcentral.proquest.com/lib/unc/detail.action?docID=1340908","ISBN":"978-1-74224-649-9","author":[{"family":"Reynolds","given":"Henry"}],"issued":{"date-parts":[["2013"]]},"accessed":{"date-parts":[["2019",3,27]]}}}],"schema":"https://github.com/citation-style-language/schema/raw/master/csl-citation.json"} </w:instrText>
      </w:r>
      <w:r w:rsidRPr="00495281">
        <w:rPr>
          <w:szCs w:val="24"/>
        </w:rPr>
        <w:fldChar w:fldCharType="separate"/>
      </w:r>
      <w:r w:rsidRPr="00495281">
        <w:rPr>
          <w:noProof/>
          <w:szCs w:val="24"/>
        </w:rPr>
        <w:t>(Reynolds 2006, 2013)</w:t>
      </w:r>
      <w:r w:rsidRPr="00495281">
        <w:rPr>
          <w:szCs w:val="24"/>
        </w:rPr>
        <w:fldChar w:fldCharType="end"/>
      </w:r>
      <w:r w:rsidRPr="00495281">
        <w:rPr>
          <w:szCs w:val="24"/>
        </w:rPr>
        <w:t xml:space="preserve"> and those who favor a narrative of colonial violence as far from a fair fight </w:t>
      </w:r>
      <w:r w:rsidRPr="00495281">
        <w:rPr>
          <w:szCs w:val="24"/>
        </w:rPr>
        <w:fldChar w:fldCharType="begin"/>
      </w:r>
      <w:r w:rsidRPr="00495281">
        <w:rPr>
          <w:szCs w:val="24"/>
        </w:rPr>
        <w:instrText xml:space="preserve"> ADDIN ZOTERO_ITEM CSL_CITATION {"citationID":"5AOPvsIB","properties":{"formattedCitation":"(Boyce 2013)","plainCitation":"(Boyce 2013)","noteIndex":0},"citationItems":[{"id":1225,"uris":["http://zotero.org/users/3096777/items/5GFRAXTS"],"uri":["http://zotero.org/users/3096777/items/5GFRAXTS"],"itemData":{"id":1225,"type":"book","title":"1835: The Founding of Melbourne &amp; the Conquest of Australia","publisher":"Schwartz Publishing Pty. Ltd","publisher-place":"Melbourne","source":"ProQuest Ebook Central","event-place":"Melbourne","abstract":"Winner of the 2012 Age Book of the Year Award and the 2013 Tasmania Book Prize With the founding of Melbourne in 1835, a flood of settlers began spreading out across the Australian continent. In three years more land – and more people – was conquered than in the preceding fifty. In 1835 James Boyce brings this pivotal moment to life. He traces the power plays in Hobart, Sydney and London, and describes the key personalities of Melbourne’s early days. He conjures up the Australian frontier – its complexity, its rawness and the way its legacy is still with us today. And he asks the poignant question largely ignored for 175 years: could it have been different? With his first book, Van Diemen’s Land, Boyce introduced an utterly fresh approach to the nation’s history. “In re-imagining Australia’s past,” Richard Flanagan wrote, “it invents a new future.” 1835 continues this untold story. ‘Anyone who calls Melbourne home – in fact anyone who calls Australia home – should read this book.’ —Peter Mares ‘An eloquent and thought-provoking book.’ —Australian Book Review ‘1835 is the best book on Australian history I have read since Van Diemen’s Land. James Boyce is on a roll.’ —Good Reading Shortlisted, 2012 Prime Minister’s Literary Award Shortlisted, 2011 West Australian Premier’s Book Awards Shortlisted, 2012 Victorian Premier's Literary Awards Shortlisted, 2012 Queensland Literary Awards James Boyce is the multiple award-winning author of Born Bad, 1835 and Van Diemen’s Land. He has a PhD from the University of Tasmania, where he is an honorary research associate of the School of Geography and Environmental Studies.","URL":"http://ebookcentral.proquest.com/lib/unc/detail.action?docID=1887386","ISBN":"978-1-921870-95-8","shortTitle":"1835","author":[{"family":"Boyce","given":"James"}],"issued":{"date-parts":[["2013"]]},"accessed":{"date-parts":[["2019",3,27]]}}}],"schema":"https://github.com/citation-style-language/schema/raw/master/csl-citation.json"} </w:instrText>
      </w:r>
      <w:r w:rsidRPr="00495281">
        <w:rPr>
          <w:szCs w:val="24"/>
        </w:rPr>
        <w:fldChar w:fldCharType="separate"/>
      </w:r>
      <w:r w:rsidRPr="00495281">
        <w:rPr>
          <w:noProof/>
          <w:szCs w:val="24"/>
        </w:rPr>
        <w:t>(Boyce 2013)</w:t>
      </w:r>
      <w:r w:rsidRPr="00495281">
        <w:rPr>
          <w:szCs w:val="24"/>
        </w:rPr>
        <w:fldChar w:fldCharType="end"/>
      </w:r>
      <w:r w:rsidRPr="00495281">
        <w:rPr>
          <w:szCs w:val="24"/>
        </w:rPr>
        <w:t xml:space="preserve">. </w:t>
      </w:r>
    </w:p>
    <w:p w14:paraId="4805C87E" w14:textId="4D8BCD19" w:rsidR="00ED76E1" w:rsidRPr="00495281" w:rsidRDefault="00ED76E1" w:rsidP="00ED76E1">
      <w:pPr>
        <w:autoSpaceDE w:val="0"/>
        <w:autoSpaceDN w:val="0"/>
        <w:adjustRightInd w:val="0"/>
        <w:spacing w:line="480" w:lineRule="auto"/>
        <w:ind w:firstLine="720"/>
        <w:contextualSpacing/>
        <w:rPr>
          <w:szCs w:val="24"/>
        </w:rPr>
      </w:pPr>
      <w:r w:rsidRPr="00495281">
        <w:rPr>
          <w:szCs w:val="24"/>
        </w:rPr>
        <w:t xml:space="preserve">Memorialization </w:t>
      </w:r>
      <w:r>
        <w:rPr>
          <w:szCs w:val="24"/>
        </w:rPr>
        <w:t xml:space="preserve">of </w:t>
      </w:r>
      <w:r w:rsidRPr="00495281">
        <w:rPr>
          <w:szCs w:val="24"/>
        </w:rPr>
        <w:t xml:space="preserve">colonial violence toward Indigenous people has increased in recent decades, with a renewed interest among historians, artists, and the public in commemorating this history </w:t>
      </w:r>
      <w:r w:rsidRPr="00495281">
        <w:rPr>
          <w:szCs w:val="24"/>
        </w:rPr>
        <w:fldChar w:fldCharType="begin"/>
      </w:r>
      <w:r w:rsidRPr="00495281">
        <w:rPr>
          <w:szCs w:val="24"/>
        </w:rPr>
        <w:instrText xml:space="preserve"> ADDIN ZOTERO_ITEM CSL_CITATION {"citationID":"jSZvZc9P","properties":{"formattedCitation":"(Batten and Batten 2008)","plainCitation":"(Batten and Batten 2008)","noteIndex":0},"citationItems":[{"id":1216,"uris":["http://zotero.org/users/3096777/items/FIB2PFCG"],"uri":["http://zotero.org/users/3096777/items/FIB2PFCG"],"itemData":{"id":1216,"type":"article-journal","title":"Memorialising the Past: Is there an Aboriginal Way?","container-title":"Public History Review","page":"92-116","volume":"15","author":[{"family":"Batten","given":"Bronwyn"},{"family":"Batten","given":"Paul"}],"issued":{"date-parts":[["2008"]]}}}],"schema":"https://github.com/citation-style-language/schema/raw/master/csl-citation.json"} </w:instrText>
      </w:r>
      <w:r w:rsidRPr="00495281">
        <w:rPr>
          <w:szCs w:val="24"/>
        </w:rPr>
        <w:fldChar w:fldCharType="separate"/>
      </w:r>
      <w:r w:rsidRPr="00495281">
        <w:rPr>
          <w:noProof/>
          <w:szCs w:val="24"/>
        </w:rPr>
        <w:t>(Batten and Batten 2008)</w:t>
      </w:r>
      <w:r w:rsidRPr="00495281">
        <w:rPr>
          <w:szCs w:val="24"/>
        </w:rPr>
        <w:fldChar w:fldCharType="end"/>
      </w:r>
      <w:r w:rsidRPr="00495281">
        <w:rPr>
          <w:szCs w:val="24"/>
        </w:rPr>
        <w:t xml:space="preserve">. Many memorials to colonists and “explorers” have been contextualized since the multiculturalism of the 1980s and 1990s, especially through the addition of plaques decrying colonial massacres and land seizures </w:t>
      </w:r>
      <w:r w:rsidRPr="00495281">
        <w:rPr>
          <w:szCs w:val="24"/>
        </w:rPr>
        <w:fldChar w:fldCharType="begin"/>
      </w:r>
      <w:r w:rsidRPr="00495281">
        <w:rPr>
          <w:szCs w:val="24"/>
        </w:rPr>
        <w:instrText xml:space="preserve"> ADDIN ZOTERO_ITEM CSL_CITATION {"citationID":"D52CnbEC","properties":{"formattedCitation":"(Batten and Batten 2008)","plainCitation":"(Batten and Batten 2008)","noteIndex":0},"citationItems":[{"id":1216,"uris":["http://zotero.org/users/3096777/items/FIB2PFCG"],"uri":["http://zotero.org/users/3096777/items/FIB2PFCG"],"itemData":{"id":1216,"type":"article-journal","title":"Memorialising the Past: Is there an Aboriginal Way?","container-title":"Public History Review","page":"92-116","volume":"15","author":[{"family":"Batten","given":"Bronwyn"},{"family":"Batten","given":"Paul"}],"issued":{"date-parts":[["2008"]]}}}],"schema":"https://github.com/citation-style-language/schema/raw/master/csl-citation.json"} </w:instrText>
      </w:r>
      <w:r w:rsidRPr="00495281">
        <w:rPr>
          <w:szCs w:val="24"/>
        </w:rPr>
        <w:fldChar w:fldCharType="separate"/>
      </w:r>
      <w:r w:rsidRPr="00495281">
        <w:rPr>
          <w:noProof/>
          <w:szCs w:val="24"/>
        </w:rPr>
        <w:t>(Batten and Batten 2008)</w:t>
      </w:r>
      <w:r w:rsidRPr="00495281">
        <w:rPr>
          <w:szCs w:val="24"/>
        </w:rPr>
        <w:fldChar w:fldCharType="end"/>
      </w:r>
      <w:r w:rsidRPr="00495281">
        <w:rPr>
          <w:szCs w:val="24"/>
        </w:rPr>
        <w:t>.</w:t>
      </w:r>
    </w:p>
    <w:p w14:paraId="6E3B4D8B" w14:textId="2D3AFAC3" w:rsidR="00815352" w:rsidRPr="00ED76E1" w:rsidRDefault="00ED76E1" w:rsidP="00ED76E1">
      <w:pPr>
        <w:autoSpaceDE w:val="0"/>
        <w:autoSpaceDN w:val="0"/>
        <w:adjustRightInd w:val="0"/>
        <w:spacing w:line="480" w:lineRule="auto"/>
        <w:ind w:firstLine="720"/>
        <w:contextualSpacing/>
        <w:rPr>
          <w:szCs w:val="24"/>
        </w:rPr>
      </w:pPr>
      <w:r w:rsidRPr="00495281">
        <w:rPr>
          <w:szCs w:val="24"/>
        </w:rPr>
        <w:t xml:space="preserve">Additionally, several monuments and memorials related to Indigenous exploitation have been created since the reforms of the 1960s: a group of Aboriginal artists created the Aboriginal Memorial, an artwork marking 200 years of white settlement, and offered it to the National Gallery of Australia, which partially funded it, in 1987; the City of Mitcham and several civil society organizations funded a memorial at the Colebrook Training Home, which from 1943-1972 housed hundreds of forcibly removed Aboriginal children, in 1998; Reconciliation Place was designated by the federal government in Canberra in 2001; the City of Sydney curated a monument acknowledging the service of Indigenous Australian soldiers in 2015; and there are several more official monuments around the country and in the planning stages. Talks are now underway to design a National Resting Place for the remains of Indigenous people who were buried after violent deaths or taken abroad to be displayed in museums and returned to Australia but unclaimed by their communities. However, there are over 180 documented Indigenous massacres by the British in Eastern Australia alone, most of which do not have memorials marking the Indigenous people slaughtered there </w:t>
      </w:r>
      <w:r w:rsidRPr="00495281">
        <w:rPr>
          <w:szCs w:val="24"/>
        </w:rPr>
        <w:fldChar w:fldCharType="begin"/>
      </w:r>
      <w:r w:rsidRPr="00495281">
        <w:rPr>
          <w:szCs w:val="24"/>
        </w:rPr>
        <w:instrText xml:space="preserve"> ADDIN ZOTERO_ITEM CSL_CITATION {"citationID":"BLYBU9gf","properties":{"formattedCitation":"(Ryan et al. 2017)","plainCitation":"(Ryan et al. 2017)","noteIndex":0},"citationItems":[{"id":"vgAGpO9M/3StcTX21","uris":["http://zotero.org/users/3096777/items/U7LK9S6K"],"uri":["http://zotero.org/users/3096777/items/U7LK9S6K"],"itemData":{"id":968,"type":"webpage","title":"Colonial Frontier Massacres in Eastern Australia 1788-1872","container-title":"Centre For 21st Century Humanities","URL":"https://c21ch.newcastle.edu.au/colonialmassacres/map.php","author":[{"family":"Ryan","given":"Lyndall"},{"family":"Debenham","given":"Jennifer"},{"family":"Brown","given":"Mark"},{"family":"Pascoe","given":"William"}],"issued":{"date-parts":[["2017"]]},"accessed":{"date-parts":[["2018",5,24]]}}}],"schema":"https://github.com/citation-style-language/schema/raw/master/csl-citation.json"} </w:instrText>
      </w:r>
      <w:r w:rsidRPr="00495281">
        <w:rPr>
          <w:szCs w:val="24"/>
        </w:rPr>
        <w:fldChar w:fldCharType="separate"/>
      </w:r>
      <w:r w:rsidRPr="00495281">
        <w:rPr>
          <w:noProof/>
          <w:szCs w:val="24"/>
        </w:rPr>
        <w:t>(Ryan et al. 2017)</w:t>
      </w:r>
      <w:r w:rsidRPr="00495281">
        <w:rPr>
          <w:szCs w:val="24"/>
        </w:rPr>
        <w:fldChar w:fldCharType="end"/>
      </w:r>
      <w:r w:rsidRPr="00495281">
        <w:rPr>
          <w:szCs w:val="24"/>
        </w:rPr>
        <w:t>.</w:t>
      </w:r>
    </w:p>
    <w:p w14:paraId="2E342D76" w14:textId="77777777" w:rsidR="00E52587" w:rsidRPr="00E52587" w:rsidRDefault="00E52587" w:rsidP="00E52587"/>
    <w:p w14:paraId="23F89A35" w14:textId="03D51915" w:rsidR="007732DA" w:rsidRPr="008926FD" w:rsidRDefault="002459E5" w:rsidP="007732DA">
      <w:pPr>
        <w:pStyle w:val="Heading1"/>
      </w:pPr>
      <w:r w:rsidRPr="008926FD">
        <w:t>A Political Aesthetic of Solidarity</w:t>
      </w:r>
    </w:p>
    <w:p w14:paraId="4C1F7025" w14:textId="77777777" w:rsidR="00675CFF" w:rsidRDefault="00675CFF" w:rsidP="00675CFF"/>
    <w:p w14:paraId="4F5A7F92" w14:textId="313810BA" w:rsidR="0036454B" w:rsidRDefault="0036454B" w:rsidP="00C822F3">
      <w:pPr>
        <w:spacing w:line="480" w:lineRule="auto"/>
        <w:rPr>
          <w:szCs w:val="24"/>
        </w:rPr>
      </w:pPr>
      <w:r>
        <w:lastRenderedPageBreak/>
        <w:t>One possible</w:t>
      </w:r>
      <w:r w:rsidR="00675CFF">
        <w:t xml:space="preserve"> goal</w:t>
      </w:r>
      <w:r w:rsidR="00930CAC">
        <w:t xml:space="preserve"> </w:t>
      </w:r>
      <w:r w:rsidR="0089577E">
        <w:t xml:space="preserve">of </w:t>
      </w:r>
      <w:r w:rsidR="00675CFF">
        <w:t>solidarity</w:t>
      </w:r>
      <w:r w:rsidR="0089577E">
        <w:t xml:space="preserve"> </w:t>
      </w:r>
      <w:r>
        <w:t xml:space="preserve">when it comes to memorials to historical violence </w:t>
      </w:r>
      <w:r w:rsidR="0089577E">
        <w:t xml:space="preserve">should be that </w:t>
      </w:r>
      <w:r>
        <w:t>solidarity cultivates an</w:t>
      </w:r>
      <w:r w:rsidR="00675CFF" w:rsidRPr="0057024B">
        <w:rPr>
          <w:szCs w:val="24"/>
        </w:rPr>
        <w:t xml:space="preserve"> aversion to </w:t>
      </w:r>
      <w:r w:rsidR="0089577E">
        <w:rPr>
          <w:szCs w:val="24"/>
        </w:rPr>
        <w:t>inflicting violence</w:t>
      </w:r>
      <w:r>
        <w:rPr>
          <w:szCs w:val="24"/>
        </w:rPr>
        <w:t xml:space="preserve"> upon others</w:t>
      </w:r>
      <w:r w:rsidR="00675CFF" w:rsidRPr="0057024B">
        <w:rPr>
          <w:szCs w:val="24"/>
        </w:rPr>
        <w:t xml:space="preserve">. </w:t>
      </w:r>
      <w:r w:rsidR="00071942">
        <w:rPr>
          <w:szCs w:val="24"/>
        </w:rPr>
        <w:t xml:space="preserve">This aversion might work toward a collective avoidance of the </w:t>
      </w:r>
      <w:r w:rsidR="00071942">
        <w:rPr>
          <w:i/>
          <w:szCs w:val="24"/>
        </w:rPr>
        <w:t>summum malum</w:t>
      </w:r>
      <w:r w:rsidR="00071942">
        <w:rPr>
          <w:szCs w:val="24"/>
        </w:rPr>
        <w:t xml:space="preserve"> of future mass violence. That is, memorials to colonial violence like massacres, brutal executions, or kidnapping might be especially equipped to work against the possibility of future colonial violence and its modern iterations. Since violence against Indigenous bodies at the hands of the carceral state and child welfare system remains a problem in Australia, this problem is more an immediate reality than a remote possibility, so if a political aesthetic is able to contribute to solving this problem by cultivating sensibilities that work against future violence, it certainly should. </w:t>
      </w:r>
    </w:p>
    <w:p w14:paraId="6310C172" w14:textId="10A49E3C" w:rsidR="0070391F" w:rsidRDefault="00071942" w:rsidP="00C822F3">
      <w:pPr>
        <w:spacing w:line="480" w:lineRule="auto"/>
        <w:rPr>
          <w:rFonts w:eastAsia="Times New Roman"/>
          <w:szCs w:val="24"/>
        </w:rPr>
      </w:pPr>
      <w:r>
        <w:rPr>
          <w:szCs w:val="24"/>
        </w:rPr>
        <w:tab/>
        <w:t>One way that I think a political aesthetic of commemoration of violent histories can work to open up imaginative possibilities to a world without future mass violence is through the ideas of solidarity discussed above.</w:t>
      </w:r>
      <w:r w:rsidR="0070391F">
        <w:rPr>
          <w:szCs w:val="24"/>
        </w:rPr>
        <w:t xml:space="preserve"> As case studies, I will discuss two memorials to colonial violence against Indigenous Australians: “Standing by Tunnerminnerwait and Maulboyheener” in Melbourne and the Myall Creek Massacre Memorial in northern New South Wales. Both were created through cooperation with Indigenous and non-Indigenous actors and both encapsulate solidarity as I have defined it: as </w:t>
      </w:r>
      <w:r w:rsidR="0070391F">
        <w:rPr>
          <w:rFonts w:eastAsia="Times New Roman"/>
          <w:szCs w:val="24"/>
        </w:rPr>
        <w:t xml:space="preserve">a set of prosocial attitudes and practices that, by cultivating understanding of others who are different from ourselves, orients us to see others as “with” us in one sense or another. I also see these memorials as a part of the ongoing process of reconciliation between Indigenous and non-Indigenous Australians and between Indigenous communities and the Australian government. As such, they constitute part of a political aesthetic that aims to cultivate sensibilities that will lead the public away from future violence. </w:t>
      </w:r>
    </w:p>
    <w:p w14:paraId="170EAF09" w14:textId="20B11B66" w:rsidR="00193EE3" w:rsidRDefault="004D260C" w:rsidP="00304794">
      <w:pPr>
        <w:widowControl w:val="0"/>
        <w:autoSpaceDE w:val="0"/>
        <w:autoSpaceDN w:val="0"/>
        <w:adjustRightInd w:val="0"/>
        <w:spacing w:line="480" w:lineRule="auto"/>
        <w:rPr>
          <w:szCs w:val="24"/>
        </w:rPr>
      </w:pPr>
      <w:r w:rsidRPr="00990F39">
        <w:rPr>
          <w:szCs w:val="24"/>
        </w:rPr>
        <w:tab/>
        <w:t xml:space="preserve">I chose these cases because of their very different aesthetic styles – one uses sleek industrial materials and is situated in a cityscape and another uses “natural” materials and is </w:t>
      </w:r>
      <w:r w:rsidRPr="00990F39">
        <w:rPr>
          <w:szCs w:val="24"/>
        </w:rPr>
        <w:lastRenderedPageBreak/>
        <w:t xml:space="preserve">integrated into a rural landscape – and because they represent two different types of colonial violence to Indigenous bodies – hanging execution and vigilante massacre. </w:t>
      </w:r>
      <w:r w:rsidR="0027193B" w:rsidRPr="00990F39">
        <w:rPr>
          <w:szCs w:val="24"/>
        </w:rPr>
        <w:t>I do not want to hold them up as exemplary monuments or as perfect encapsulations of ideas of solidarity, but rather tease out how certain themes of solidarity play out in and around each.</w:t>
      </w:r>
      <w:r w:rsidR="00990F39" w:rsidRPr="00990F39">
        <w:rPr>
          <w:szCs w:val="24"/>
        </w:rPr>
        <w:t xml:space="preserve"> Aside from the formal memorials I discuss here, </w:t>
      </w:r>
      <w:r w:rsidR="00990F39">
        <w:rPr>
          <w:szCs w:val="24"/>
        </w:rPr>
        <w:t>Australia is also dotted with</w:t>
      </w:r>
      <w:r w:rsidR="00990F39" w:rsidRPr="00990F39">
        <w:rPr>
          <w:szCs w:val="24"/>
        </w:rPr>
        <w:t xml:space="preserve"> also </w:t>
      </w:r>
      <w:r w:rsidR="00990F39">
        <w:rPr>
          <w:szCs w:val="24"/>
        </w:rPr>
        <w:t xml:space="preserve">many </w:t>
      </w:r>
      <w:r w:rsidR="00990F39" w:rsidRPr="00990F39">
        <w:rPr>
          <w:szCs w:val="24"/>
        </w:rPr>
        <w:t xml:space="preserve">informal memorials and </w:t>
      </w:r>
      <w:r w:rsidR="00990F39" w:rsidRPr="00990F39">
        <w:rPr>
          <w:i/>
          <w:szCs w:val="24"/>
        </w:rPr>
        <w:t>lieux de memoire</w:t>
      </w:r>
      <w:r w:rsidR="00990F39">
        <w:rPr>
          <w:szCs w:val="24"/>
        </w:rPr>
        <w:t xml:space="preserve"> </w:t>
      </w:r>
      <w:r w:rsidR="00990F39">
        <w:rPr>
          <w:szCs w:val="24"/>
        </w:rPr>
        <w:fldChar w:fldCharType="begin"/>
      </w:r>
      <w:r w:rsidR="00990F39">
        <w:rPr>
          <w:szCs w:val="24"/>
        </w:rPr>
        <w:instrText xml:space="preserve"> ADDIN ZOTERO_ITEM CSL_CITATION {"citationID":"dmsf6dOh","properties":{"formattedCitation":"(Nora 1989)","plainCitation":"(Nora 1989)","noteIndex":0},"citationItems":[{"id":500,"uris":["http://zotero.org/users/3096777/items/TMKZRFMG"],"uri":["http://zotero.org/users/3096777/items/TMKZRFMG"],"itemData":{"id":500,"type":"article-journal","title":"Between Memory and History: Les Lieux de Mémoire","container-title":"Representations","page":"7-24","DOI":"10.2307/2928520","ISSN":"07346018, 1533855X","author":[{"family":"Nora","given":"Pierre"}],"issued":{"date-parts":[["1989"]]}}}],"schema":"https://github.com/citation-style-language/schema/raw/master/csl-citation.json"} </w:instrText>
      </w:r>
      <w:r w:rsidR="00990F39">
        <w:rPr>
          <w:szCs w:val="24"/>
        </w:rPr>
        <w:fldChar w:fldCharType="separate"/>
      </w:r>
      <w:r w:rsidR="00990F39">
        <w:rPr>
          <w:noProof/>
          <w:szCs w:val="24"/>
        </w:rPr>
        <w:t>(Nora 1989)</w:t>
      </w:r>
      <w:r w:rsidR="00990F39">
        <w:rPr>
          <w:szCs w:val="24"/>
        </w:rPr>
        <w:fldChar w:fldCharType="end"/>
      </w:r>
      <w:r w:rsidR="00990F39" w:rsidRPr="00990F39">
        <w:rPr>
          <w:szCs w:val="24"/>
        </w:rPr>
        <w:t xml:space="preserve">, including what Neil Carter, Indigenous member of the Australian Government’s Advisory Committee for Indigenous Repatriation calls “living memorials,” which include waterholes in the desert that are significant only to members of Indigenous communities </w:t>
      </w:r>
      <w:r w:rsidR="00990F39" w:rsidRPr="00990F39">
        <w:rPr>
          <w:szCs w:val="24"/>
        </w:rPr>
        <w:fldChar w:fldCharType="begin"/>
      </w:r>
      <w:r w:rsidR="00990F39" w:rsidRPr="00990F39">
        <w:rPr>
          <w:szCs w:val="24"/>
        </w:rPr>
        <w:instrText xml:space="preserve"> ADDIN ZOTERO_ITEM CSL_CITATION {"citationID":"jTyYzZzo","properties":{"formattedCitation":"(Neath and Andrew 2018, 99)","plainCitation":"(Neath and Andrew 2018, 99)","noteIndex":0},"citationItems":[{"id":1234,"uris":["http://zotero.org/users/3096777/items/A4JKV2PH"],"uri":["http://zotero.org/users/3096777/items/A4JKV2PH"],"itemData":{"id":1234,"type":"chapter","title":"Walking on bones","container-title":"Remembering the Myall Creek Massacre","publisher":"University of New South Wales Press","publisher-place":"Chicago","page":"96-112","source":"ProQuest Ebook Central","event-place":"Chicago","URL":"http://ebookcentral.proquest.com/lib/unc/detail.action?docID=5527926","ISBN":"978-1-74224-419-8","author":[{"family":"Neath","given":"Jessica"},{"family":"Andrew","given":"Brook"}],"editor":[{"family":"Lydon","given":"Jane"},{"family":"Ryan","given":"Lyndall"}],"issued":{"date-parts":[["2018"]]},"accessed":{"date-parts":[["2019",3,30]]}},"locator":"99"}],"schema":"https://github.com/citation-style-language/schema/raw/master/csl-citation.json"} </w:instrText>
      </w:r>
      <w:r w:rsidR="00990F39" w:rsidRPr="00990F39">
        <w:rPr>
          <w:szCs w:val="24"/>
        </w:rPr>
        <w:fldChar w:fldCharType="separate"/>
      </w:r>
      <w:r w:rsidR="00990F39" w:rsidRPr="00990F39">
        <w:rPr>
          <w:noProof/>
          <w:szCs w:val="24"/>
        </w:rPr>
        <w:t>(Neath and Andrew 2018, 99)</w:t>
      </w:r>
      <w:r w:rsidR="00990F39" w:rsidRPr="00990F39">
        <w:rPr>
          <w:szCs w:val="24"/>
        </w:rPr>
        <w:fldChar w:fldCharType="end"/>
      </w:r>
      <w:r w:rsidR="00990F39" w:rsidRPr="00990F39">
        <w:rPr>
          <w:szCs w:val="24"/>
        </w:rPr>
        <w:t>.</w:t>
      </w:r>
      <w:r w:rsidR="00C822F3">
        <w:rPr>
          <w:szCs w:val="24"/>
        </w:rPr>
        <w:t xml:space="preserve"> A database of formal and informal markers can be found at the citizen-compiled Monument Australia database </w:t>
      </w:r>
      <w:r w:rsidR="00C822F3">
        <w:rPr>
          <w:szCs w:val="24"/>
        </w:rPr>
        <w:fldChar w:fldCharType="begin"/>
      </w:r>
      <w:r w:rsidR="00C822F3">
        <w:rPr>
          <w:szCs w:val="24"/>
        </w:rPr>
        <w:instrText xml:space="preserve"> ADDIN ZOTERO_ITEM CSL_CITATION {"citationID":"58usGLkC","properties":{"formattedCitation":"(\\uc0\\u8220{}Monument Australia\\uc0\\u8221{} n.d.)","plainCitation":"(“Monument Australia” n.d.)","noteIndex":0},"citationItems":[{"id":1266,"uris":["http://zotero.org/users/3096777/items/I99XNZGH"],"uri":["http://zotero.org/users/3096777/items/I99XNZGH"],"itemData":{"id":1266,"type":"webpage","title":"Monument Australia","container-title":"Monument Australia","URL":"http://monumentaustralia.org.au/search","accessed":{"date-parts":[["2019",4,1]]}}}],"schema":"https://github.com/citation-style-language/schema/raw/master/csl-citation.json"} </w:instrText>
      </w:r>
      <w:r w:rsidR="00C822F3">
        <w:rPr>
          <w:szCs w:val="24"/>
        </w:rPr>
        <w:fldChar w:fldCharType="separate"/>
      </w:r>
      <w:r w:rsidR="00C822F3" w:rsidRPr="00C822F3">
        <w:rPr>
          <w:color w:val="000000"/>
        </w:rPr>
        <w:t>(“Monument Australia” n.d.)</w:t>
      </w:r>
      <w:r w:rsidR="00C822F3">
        <w:rPr>
          <w:szCs w:val="24"/>
        </w:rPr>
        <w:fldChar w:fldCharType="end"/>
      </w:r>
      <w:r w:rsidR="00C822F3">
        <w:rPr>
          <w:szCs w:val="24"/>
        </w:rPr>
        <w:t>.</w:t>
      </w:r>
    </w:p>
    <w:p w14:paraId="7187F9BC" w14:textId="4C21F491" w:rsidR="00DD57C2" w:rsidRPr="003B06F5" w:rsidRDefault="005A14A3" w:rsidP="00304794">
      <w:pPr>
        <w:pStyle w:val="Heading2"/>
      </w:pPr>
      <w:r w:rsidRPr="003B06F5">
        <w:t>“Standing by Tunnerminnerwait and Maulboyheener”</w:t>
      </w:r>
    </w:p>
    <w:p w14:paraId="447ABC51" w14:textId="77777777" w:rsidR="00F433AE" w:rsidRDefault="00F433AE" w:rsidP="00F433AE">
      <w:pPr>
        <w:contextualSpacing/>
        <w:rPr>
          <w:rFonts w:eastAsia="Times New Roman"/>
          <w:szCs w:val="24"/>
        </w:rPr>
      </w:pPr>
    </w:p>
    <w:p w14:paraId="59162F65" w14:textId="298DC60B" w:rsidR="003B06F5" w:rsidRDefault="003B06F5" w:rsidP="00EA6AFB">
      <w:pPr>
        <w:spacing w:line="480" w:lineRule="auto"/>
        <w:contextualSpacing/>
        <w:rPr>
          <w:szCs w:val="24"/>
        </w:rPr>
      </w:pPr>
      <w:r w:rsidRPr="00EA6AFB">
        <w:rPr>
          <w:szCs w:val="24"/>
        </w:rPr>
        <w:t xml:space="preserve">In 1841, two Tasmanian Aboriginal men were convicted of the murder of two white whale hunters in the bay around Melbourne. They became the first people hanged in the burgeoning city of Melbourne; after only a few more public executions, the Melbourne Gaol was built and further executions were conducted inside </w:t>
      </w:r>
      <w:r w:rsidRPr="00EA6AFB">
        <w:rPr>
          <w:szCs w:val="24"/>
        </w:rPr>
        <w:fldChar w:fldCharType="begin"/>
      </w:r>
      <w:r w:rsidR="008F2679">
        <w:rPr>
          <w:szCs w:val="24"/>
        </w:rPr>
        <w:instrText xml:space="preserve"> ADDIN ZOTERO_ITEM CSL_CITATION {"citationID":"M2ytVLtD","properties":{"formattedCitation":"(Land 2014)","plainCitation":"(Land 2014)","noteIndex":0},"citationItems":[{"id":1251,"uris":["http://zotero.org/users/3096777/items/M6AI6UIN"],"uri":["http://zotero.org/users/3096777/items/M6AI6UIN"],"itemData":{"id":1251,"type":"report","title":"Tunnerminnerwait and Maulboyheenner: The Involvement of Aboriginal People from Tasmania and Key Events of Early Melbourne","publisher":"City of Melbourne","publisher-place":"Melbourne","event-place":"Melbourne","URL":"https://www.melbourne.vic.gov.au/SiteCollectionDocuments/tunnerminnerwait-and-maulboyheenner.pdf","call-number":"ISBN 978-1-74250-980-8s","author":[{"family":"Land","given":"Clare"}],"issued":{"date-parts":[["2014"]]},"accessed":{"date-parts":[["2019",3,31]]}}}],"schema":"https://github.com/citation-style-language/schema/raw/master/csl-citation.json"} </w:instrText>
      </w:r>
      <w:r w:rsidRPr="00EA6AFB">
        <w:rPr>
          <w:szCs w:val="24"/>
        </w:rPr>
        <w:fldChar w:fldCharType="separate"/>
      </w:r>
      <w:r w:rsidRPr="00EA6AFB">
        <w:rPr>
          <w:noProof/>
          <w:szCs w:val="24"/>
        </w:rPr>
        <w:t>(Land 2014)</w:t>
      </w:r>
      <w:r w:rsidRPr="00EA6AFB">
        <w:rPr>
          <w:szCs w:val="24"/>
        </w:rPr>
        <w:fldChar w:fldCharType="end"/>
      </w:r>
      <w:r w:rsidRPr="00EA6AFB">
        <w:rPr>
          <w:szCs w:val="24"/>
        </w:rPr>
        <w:t xml:space="preserve">. The sentencing judge explained that these men’s hanging was meant to send a threatening message Aboriginal people considering armed resistance </w:t>
      </w:r>
      <w:r w:rsidRPr="00EA6AFB">
        <w:rPr>
          <w:szCs w:val="24"/>
        </w:rPr>
        <w:fldChar w:fldCharType="begin"/>
      </w:r>
      <w:r w:rsidR="008F2679">
        <w:rPr>
          <w:szCs w:val="24"/>
        </w:rPr>
        <w:instrText xml:space="preserve"> ADDIN ZOTERO_ITEM CSL_CITATION {"citationID":"P3vOMbAD","properties":{"formattedCitation":"(Land 2014, 10)","plainCitation":"(Land 2014, 10)","noteIndex":0},"citationItems":[{"id":1251,"uris":["http://zotero.org/users/3096777/items/M6AI6UIN"],"uri":["http://zotero.org/users/3096777/items/M6AI6UIN"],"itemData":{"id":1251,"type":"report","title":"Tunnerminnerwait and Maulboyheenner: The Involvement of Aboriginal People from Tasmania and Key Events of Early Melbourne","publisher":"City of Melbourne","publisher-place":"Melbourne","event-place":"Melbourne","URL":"https://www.melbourne.vic.gov.au/SiteCollectionDocuments/tunnerminnerwait-and-maulboyheenner.pdf","call-number":"ISBN 978-1-74250-980-8s","author":[{"family":"Land","given":"Clare"}],"issued":{"date-parts":[["2014"]]},"accessed":{"date-parts":[["2019",3,31]]}},"locator":"10"}],"schema":"https://github.com/citation-style-language/schema/raw/master/csl-citation.json"} </w:instrText>
      </w:r>
      <w:r w:rsidRPr="00EA6AFB">
        <w:rPr>
          <w:szCs w:val="24"/>
        </w:rPr>
        <w:fldChar w:fldCharType="separate"/>
      </w:r>
      <w:r w:rsidRPr="00EA6AFB">
        <w:rPr>
          <w:noProof/>
          <w:szCs w:val="24"/>
        </w:rPr>
        <w:t>(Land 2014, 10)</w:t>
      </w:r>
      <w:r w:rsidRPr="00EA6AFB">
        <w:rPr>
          <w:szCs w:val="24"/>
        </w:rPr>
        <w:fldChar w:fldCharType="end"/>
      </w:r>
      <w:r w:rsidRPr="00EA6AFB">
        <w:rPr>
          <w:szCs w:val="24"/>
        </w:rPr>
        <w:t xml:space="preserve">. Although there was one other man and three women in Tunnerminnerwait and </w:t>
      </w:r>
      <w:r w:rsidR="00316B19" w:rsidRPr="00EA6AFB">
        <w:rPr>
          <w:szCs w:val="24"/>
        </w:rPr>
        <w:t>Maulboyheenner</w:t>
      </w:r>
      <w:r w:rsidRPr="00EA6AFB">
        <w:rPr>
          <w:szCs w:val="24"/>
        </w:rPr>
        <w:t xml:space="preserve"> party, the defense relied on colonial customs of coverture and stereotypes about Aboriginal women being coerced by their husbands in order to spare the women from punishment </w:t>
      </w:r>
      <w:r w:rsidRPr="00EA6AFB">
        <w:rPr>
          <w:szCs w:val="24"/>
        </w:rPr>
        <w:fldChar w:fldCharType="begin"/>
      </w:r>
      <w:r w:rsidR="008F2679">
        <w:rPr>
          <w:szCs w:val="24"/>
        </w:rPr>
        <w:instrText xml:space="preserve"> ADDIN ZOTERO_ITEM CSL_CITATION {"citationID":"57LMMmdx","properties":{"formattedCitation":"(Land 2014, 14)","plainCitation":"(Land 2014, 14)","noteIndex":0},"citationItems":[{"id":1251,"uris":["http://zotero.org/users/3096777/items/M6AI6UIN"],"uri":["http://zotero.org/users/3096777/items/M6AI6UIN"],"itemData":{"id":1251,"type":"report","title":"Tunnerminnerwait and Maulboyheenner: The Involvement of Aboriginal People from Tasmania and Key Events of Early Melbourne","publisher":"City of Melbourne","publisher-place":"Melbourne","event-place":"Melbourne","URL":"https://www.melbourne.vic.gov.au/SiteCollectionDocuments/tunnerminnerwait-and-maulboyheenner.pdf","call-number":"ISBN 978-1-74250-980-8s","author":[{"family":"Land","given":"Clare"}],"issued":{"date-parts":[["2014"]]},"accessed":{"date-parts":[["2019",3,31]]}},"locator":"14"}],"schema":"https://github.com/citation-style-language/schema/raw/master/csl-citation.json"} </w:instrText>
      </w:r>
      <w:r w:rsidRPr="00EA6AFB">
        <w:rPr>
          <w:szCs w:val="24"/>
        </w:rPr>
        <w:fldChar w:fldCharType="separate"/>
      </w:r>
      <w:r w:rsidRPr="00EA6AFB">
        <w:rPr>
          <w:noProof/>
          <w:szCs w:val="24"/>
        </w:rPr>
        <w:t>(Land 2014, 14)</w:t>
      </w:r>
      <w:r w:rsidRPr="00EA6AFB">
        <w:rPr>
          <w:szCs w:val="24"/>
        </w:rPr>
        <w:fldChar w:fldCharType="end"/>
      </w:r>
      <w:r w:rsidRPr="00EA6AFB">
        <w:rPr>
          <w:szCs w:val="24"/>
        </w:rPr>
        <w:t xml:space="preserve">. Thus, the two men Tunnerminnerwait and Maulboyheener were sentenced to death and were hung on Melbourne city streets in front of hundreds of onlookers. </w:t>
      </w:r>
    </w:p>
    <w:p w14:paraId="04DA22E1" w14:textId="1BC36784" w:rsidR="00EA6AFB" w:rsidRDefault="00EA6AFB" w:rsidP="00EA6AFB">
      <w:pPr>
        <w:spacing w:line="480" w:lineRule="auto"/>
        <w:contextualSpacing/>
        <w:rPr>
          <w:rFonts w:eastAsia="Times New Roman"/>
          <w:szCs w:val="24"/>
        </w:rPr>
      </w:pPr>
      <w:r>
        <w:rPr>
          <w:rFonts w:eastAsia="Times New Roman"/>
          <w:szCs w:val="24"/>
        </w:rPr>
        <w:lastRenderedPageBreak/>
        <w:tab/>
        <w:t>Starting in 2006, a group of citizens began organizing for a commemoration of the lives and deaths of Tunnerminnerwait and Maulboyheener. After local organizing, the city of Melbourne agreed to commission a memorial site near the Old Melbourne Gaol and the Royal Melbourne Institute of Technology campus. The permanent memorial that r</w:t>
      </w:r>
      <w:r w:rsidRPr="00EA6AFB">
        <w:rPr>
          <w:rFonts w:eastAsia="Times New Roman"/>
          <w:szCs w:val="24"/>
        </w:rPr>
        <w:t xml:space="preserve">esulted, “Standing by Tunnerminnerwait and Maulboyheener,” was created by </w:t>
      </w:r>
      <w:r w:rsidRPr="00EA6AFB">
        <w:rPr>
          <w:szCs w:val="24"/>
        </w:rPr>
        <w:t>Wiradjuri/Ngunnawal/Celtic artist Brook Andrew and Trent Walter, Andrew’s collaborator and an independent publisher.</w:t>
      </w:r>
    </w:p>
    <w:p w14:paraId="42A8310B" w14:textId="3143D464" w:rsidR="00F433AE" w:rsidRPr="00EA6AFB" w:rsidRDefault="00F433AE" w:rsidP="00EA6AFB">
      <w:pPr>
        <w:spacing w:line="480" w:lineRule="auto"/>
        <w:ind w:firstLine="720"/>
        <w:contextualSpacing/>
        <w:rPr>
          <w:rFonts w:eastAsia="Times New Roman"/>
          <w:szCs w:val="24"/>
        </w:rPr>
      </w:pPr>
      <w:r w:rsidRPr="00EA6AFB">
        <w:rPr>
          <w:szCs w:val="24"/>
        </w:rPr>
        <w:t>The piece</w:t>
      </w:r>
      <w:r w:rsidR="00EA6AFB" w:rsidRPr="00EA6AFB">
        <w:rPr>
          <w:szCs w:val="24"/>
        </w:rPr>
        <w:t xml:space="preserve"> </w:t>
      </w:r>
      <w:r w:rsidRPr="00EA6AFB">
        <w:rPr>
          <w:szCs w:val="24"/>
        </w:rPr>
        <w:t xml:space="preserve">consists of six brightly covered boxes resembling newspaper vending machines, a structure resembling a swing set with chains connecting to a stationary stone that resembles grave markings and that reads “Tunnerminnerwait” and “Maulboyheener,” and landscaped plants of Indigenous cultural significance. The newspaper boxes are in the colors of the Australian and Aboriginal flags </w:t>
      </w:r>
      <w:r w:rsidRPr="00EA6AFB">
        <w:rPr>
          <w:szCs w:val="24"/>
        </w:rPr>
        <w:fldChar w:fldCharType="begin"/>
      </w:r>
      <w:r w:rsidRPr="00EA6AFB">
        <w:rPr>
          <w:szCs w:val="24"/>
        </w:rPr>
        <w:instrText xml:space="preserve"> ADDIN ZOTERO_ITEM CSL_CITATION {"citationID":"dIi2STwD","properties":{"formattedCitation":"(Andrew and Walter n.d.)","plainCitation":"(Andrew and Walter n.d.)","noteIndex":0},"citationItems":[{"id":1252,"uris":["http://zotero.org/users/3096777/items/U8FZHWTB"],"uri":["http://zotero.org/users/3096777/items/U8FZHWTB"],"itemData":{"id":1252,"type":"webpage","title":"Tunnerminnerwait and Maulboyheenner public marker","container-title":"City of Melbourne","abstract":"Artist Brook Andrew, along with Trent Walter, were recently commissioned by the City of Melbourne to develop a public artwork commemorating Tunnerminnerwait and Maulboyheenner, two Tasmanian Aboriginal men who were publicly hanged in Melbourne in 1842.","URL":"http://www.melbourne.vic.gov.au/arts-and-culture/art-outdoors/public-art-melbourne/Pages/tunnerminnerwait-and-maulboyheenner-public-marker.aspx","language":"en-AU","author":[{"family":"Andrew","given":"Brook"},{"family":"Walter","given":"Trent"}],"accessed":{"date-parts":[["2019",3,31]]}}}],"schema":"https://github.com/citation-style-language/schema/raw/master/csl-citation.json"} </w:instrText>
      </w:r>
      <w:r w:rsidRPr="00EA6AFB">
        <w:rPr>
          <w:szCs w:val="24"/>
        </w:rPr>
        <w:fldChar w:fldCharType="separate"/>
      </w:r>
      <w:r w:rsidRPr="00EA6AFB">
        <w:rPr>
          <w:szCs w:val="24"/>
        </w:rPr>
        <w:t>(Andrew and Walter n.d.)</w:t>
      </w:r>
      <w:r w:rsidRPr="00EA6AFB">
        <w:rPr>
          <w:szCs w:val="24"/>
        </w:rPr>
        <w:fldChar w:fldCharType="end"/>
      </w:r>
      <w:r w:rsidRPr="00EA6AFB">
        <w:rPr>
          <w:szCs w:val="24"/>
        </w:rPr>
        <w:t xml:space="preserve"> and display text and pictures inside, including accounts of the history of these two men’s death and of the historical context of the colonization of Tasmania and Melbourne. The boxes riff on the theme of newspapers and newsworthiness. The text inside one box includes an explanation of the design and intent of the memorial alongside 19</w:t>
      </w:r>
      <w:r w:rsidRPr="00EA6AFB">
        <w:rPr>
          <w:szCs w:val="24"/>
          <w:vertAlign w:val="superscript"/>
        </w:rPr>
        <w:t>th</w:t>
      </w:r>
      <w:r w:rsidRPr="00EA6AFB">
        <w:rPr>
          <w:szCs w:val="24"/>
        </w:rPr>
        <w:t>-century advertisements for sheep and for safe passage to Hobart, Australia. Another promises “AN INCREDIBLE STORY OF A CLASH OF CULTURES AND COLONIAL ‘JUSTICE.’” The newspaper vending machine boxes are especially interesting symbols because Australia does not have a history of newspaper vending machines on the street like many North American and European countries do.</w:t>
      </w:r>
    </w:p>
    <w:p w14:paraId="008F8482" w14:textId="1CDB1584" w:rsidR="00F433AE" w:rsidRDefault="00F433AE" w:rsidP="00F433AE">
      <w:pPr>
        <w:pStyle w:val="Caption"/>
        <w:jc w:val="center"/>
      </w:pPr>
      <w:r>
        <w:rPr>
          <w:noProof/>
        </w:rPr>
        <w:lastRenderedPageBreak/>
        <w:drawing>
          <wp:anchor distT="0" distB="0" distL="114300" distR="114300" simplePos="0" relativeHeight="251660288" behindDoc="0" locked="0" layoutInCell="1" allowOverlap="1" wp14:anchorId="1BD53BD4" wp14:editId="612FA193">
            <wp:simplePos x="0" y="0"/>
            <wp:positionH relativeFrom="margin">
              <wp:align>center</wp:align>
            </wp:positionH>
            <wp:positionV relativeFrom="paragraph">
              <wp:posOffset>258445</wp:posOffset>
            </wp:positionV>
            <wp:extent cx="4502785" cy="2912110"/>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54.jpeg"/>
                    <pic:cNvPicPr/>
                  </pic:nvPicPr>
                  <pic:blipFill rotWithShape="1">
                    <a:blip r:embed="rId9" cstate="print">
                      <a:extLst>
                        <a:ext uri="{28A0092B-C50C-407E-A947-70E740481C1C}">
                          <a14:useLocalDpi xmlns:a14="http://schemas.microsoft.com/office/drawing/2010/main" val="0"/>
                        </a:ext>
                      </a:extLst>
                    </a:blip>
                    <a:srcRect l="6246" t="7516" b="11646"/>
                    <a:stretch/>
                  </pic:blipFill>
                  <pic:spPr bwMode="auto">
                    <a:xfrm>
                      <a:off x="0" y="0"/>
                      <a:ext cx="4502785" cy="291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CF99A" w14:textId="6D164884" w:rsidR="00F433AE" w:rsidRPr="00F433AE" w:rsidRDefault="00F433AE" w:rsidP="00F433AE">
      <w:pPr>
        <w:pStyle w:val="Caption"/>
        <w:jc w:val="center"/>
        <w:rPr>
          <w:color w:val="000000" w:themeColor="text1"/>
          <w:sz w:val="24"/>
          <w:szCs w:val="24"/>
        </w:rPr>
      </w:pPr>
      <w:r>
        <w:t xml:space="preserve">Figure </w:t>
      </w:r>
      <w:r w:rsidR="00B35A5E">
        <w:t>2</w:t>
      </w:r>
      <w:r>
        <w:t xml:space="preserve"> Standing by Tunnerminnerwait and Maulboyheener</w:t>
      </w:r>
    </w:p>
    <w:p w14:paraId="721038F6" w14:textId="7A86A103" w:rsidR="00EA6AFB" w:rsidRPr="00EA6AFB" w:rsidRDefault="00F433AE" w:rsidP="00EA6AFB">
      <w:pPr>
        <w:spacing w:line="480" w:lineRule="auto"/>
        <w:rPr>
          <w:rFonts w:eastAsia="Times New Roman"/>
          <w:szCs w:val="24"/>
        </w:rPr>
      </w:pPr>
      <w:r w:rsidRPr="00EA6AFB">
        <w:rPr>
          <w:szCs w:val="24"/>
        </w:rPr>
        <w:t xml:space="preserve">The bluestone block connects to the swing set like a swing but is the opposite of a swing: stationary, solid, and immovable. The artists describe the stone as a place for </w:t>
      </w:r>
      <w:r w:rsidRPr="00EA6AFB">
        <w:rPr>
          <w:rFonts w:eastAsia="Times New Roman"/>
          <w:szCs w:val="24"/>
        </w:rPr>
        <w:t xml:space="preserve">“visitors to the site to sit, contemplate and reflect. The children’s swing seat becomes the tomb, laden with memory and history” </w:t>
      </w:r>
      <w:r w:rsidRPr="00EA6AFB">
        <w:rPr>
          <w:rFonts w:eastAsia="Times New Roman"/>
          <w:szCs w:val="24"/>
        </w:rPr>
        <w:fldChar w:fldCharType="begin"/>
      </w:r>
      <w:r w:rsidRPr="00EA6AFB">
        <w:rPr>
          <w:rFonts w:eastAsia="Times New Roman"/>
          <w:szCs w:val="24"/>
        </w:rPr>
        <w:instrText xml:space="preserve"> ADDIN ZOTERO_ITEM CSL_CITATION {"citationID":"BDVBIXau","properties":{"formattedCitation":"(Andrew and Walter n.d.)","plainCitation":"(Andrew and Walter n.d.)","noteIndex":0},"citationItems":[{"id":1252,"uris":["http://zotero.org/users/3096777/items/U8FZHWTB"],"uri":["http://zotero.org/users/3096777/items/U8FZHWTB"],"itemData":{"id":1252,"type":"webpage","title":"Tunnerminnerwait and Maulboyheenner public marker","container-title":"City of Melbourne","abstract":"Artist Brook Andrew, along with Trent Walter, were recently commissioned by the City of Melbourne to develop a public artwork commemorating Tunnerminnerwait and Maulboyheenner, two Tasmanian Aboriginal men who were publicly hanged in Melbourne in 1842.","URL":"http://www.melbourne.vic.gov.au/arts-and-culture/art-outdoors/public-art-melbourne/Pages/tunnerminnerwait-and-maulboyheenner-public-marker.aspx","language":"en-AU","author":[{"family":"Andrew","given":"Brook"},{"family":"Walter","given":"Trent"}],"accessed":{"date-parts":[["2019",3,31]]}}}],"schema":"https://github.com/citation-style-language/schema/raw/master/csl-citation.json"} </w:instrText>
      </w:r>
      <w:r w:rsidRPr="00EA6AFB">
        <w:rPr>
          <w:rFonts w:eastAsia="Times New Roman"/>
          <w:szCs w:val="24"/>
        </w:rPr>
        <w:fldChar w:fldCharType="separate"/>
      </w:r>
      <w:r w:rsidRPr="00EA6AFB">
        <w:rPr>
          <w:rFonts w:eastAsia="Times New Roman"/>
          <w:noProof/>
          <w:szCs w:val="24"/>
        </w:rPr>
        <w:t>(Andrew and Walter n.d.)</w:t>
      </w:r>
      <w:r w:rsidRPr="00EA6AFB">
        <w:rPr>
          <w:rFonts w:eastAsia="Times New Roman"/>
          <w:szCs w:val="24"/>
        </w:rPr>
        <w:fldChar w:fldCharType="end"/>
      </w:r>
      <w:r w:rsidRPr="00EA6AFB">
        <w:rPr>
          <w:rFonts w:eastAsia="Times New Roman"/>
          <w:szCs w:val="24"/>
        </w:rPr>
        <w:t xml:space="preserve">. Likewise, the swing set evokes the crude gallows where Tunnerminnerwait and Maulboyheener swung, juxtaposing the cheerful primary colors of the newspaper boxes and the swing set with the tomblike stone and the symbolism of the hangman. The gallows imagery is especially haunting when one takes into account the fact that </w:t>
      </w:r>
      <w:r w:rsidRPr="00EA6AFB">
        <w:rPr>
          <w:szCs w:val="24"/>
        </w:rPr>
        <w:t xml:space="preserve">contemporary reports of the hanging describe a cruelly botched job performed on poorly built gallows </w:t>
      </w:r>
      <w:r w:rsidRPr="00EA6AFB">
        <w:rPr>
          <w:szCs w:val="24"/>
        </w:rPr>
        <w:fldChar w:fldCharType="begin"/>
      </w:r>
      <w:r w:rsidR="008F2679">
        <w:rPr>
          <w:szCs w:val="24"/>
        </w:rPr>
        <w:instrText xml:space="preserve"> ADDIN ZOTERO_ITEM CSL_CITATION {"citationID":"n7EqltLA","properties":{"formattedCitation":"(Land 2014, 11)","plainCitation":"(Land 2014, 11)","noteIndex":0},"citationItems":[{"id":1251,"uris":["http://zotero.org/users/3096777/items/M6AI6UIN"],"uri":["http://zotero.org/users/3096777/items/M6AI6UIN"],"itemData":{"id":1251,"type":"report","title":"Tunnerminnerwait and Maulboyheenner: The Involvement of Aboriginal People from Tasmania and Key Events of Early Melbourne","publisher":"City of Melbourne","publisher-place":"Melbourne","event-place":"Melbourne","URL":"https://www.melbourne.vic.gov.au/SiteCollectionDocuments/tunnerminnerwait-and-maulboyheenner.pdf","call-number":"ISBN 978-1-74250-980-8s","author":[{"family":"Land","given":"Clare"}],"issued":{"date-parts":[["2014"]]},"accessed":{"date-parts":[["2019",3,31]]}},"locator":"11"}],"schema":"https://github.com/citation-style-language/schema/raw/master/csl-citation.json"} </w:instrText>
      </w:r>
      <w:r w:rsidRPr="00EA6AFB">
        <w:rPr>
          <w:szCs w:val="24"/>
        </w:rPr>
        <w:fldChar w:fldCharType="separate"/>
      </w:r>
      <w:r w:rsidRPr="00EA6AFB">
        <w:rPr>
          <w:noProof/>
          <w:szCs w:val="24"/>
        </w:rPr>
        <w:t>(Land 2014, 11)</w:t>
      </w:r>
      <w:r w:rsidRPr="00EA6AFB">
        <w:rPr>
          <w:szCs w:val="24"/>
        </w:rPr>
        <w:fldChar w:fldCharType="end"/>
      </w:r>
      <w:r w:rsidRPr="00EA6AFB">
        <w:rPr>
          <w:szCs w:val="24"/>
        </w:rPr>
        <w:t>.</w:t>
      </w:r>
      <w:r w:rsidR="00EA6AFB" w:rsidRPr="00EA6AFB">
        <w:rPr>
          <w:rFonts w:eastAsia="Times New Roman"/>
          <w:szCs w:val="24"/>
        </w:rPr>
        <w:t xml:space="preserve"> </w:t>
      </w:r>
      <w:r w:rsidRPr="00EA6AFB">
        <w:rPr>
          <w:rFonts w:eastAsia="Times New Roman"/>
          <w:szCs w:val="24"/>
        </w:rPr>
        <w:t>The site’s location next to the Old Melbourne Gaol, which dates to the mid-19</w:t>
      </w:r>
      <w:r w:rsidRPr="00EA6AFB">
        <w:rPr>
          <w:rFonts w:eastAsia="Times New Roman"/>
          <w:szCs w:val="24"/>
          <w:vertAlign w:val="superscript"/>
        </w:rPr>
        <w:t>th</w:t>
      </w:r>
      <w:r w:rsidRPr="00EA6AFB">
        <w:rPr>
          <w:rFonts w:eastAsia="Times New Roman"/>
          <w:szCs w:val="24"/>
        </w:rPr>
        <w:t xml:space="preserve"> century, and the use of bluestone on the swing/tomb and the path connecting the memorial to the grounds of the Gaol, was a deliberate symbol of crime, punishment, and injustice in colonial and contemporary Melbourne </w:t>
      </w:r>
      <w:r w:rsidRPr="00EA6AFB">
        <w:rPr>
          <w:rFonts w:eastAsia="Times New Roman"/>
          <w:szCs w:val="24"/>
        </w:rPr>
        <w:fldChar w:fldCharType="begin"/>
      </w:r>
      <w:r w:rsidRPr="00EA6AFB">
        <w:rPr>
          <w:rFonts w:eastAsia="Times New Roman"/>
          <w:szCs w:val="24"/>
        </w:rPr>
        <w:instrText xml:space="preserve"> ADDIN ZOTERO_ITEM CSL_CITATION {"citationID":"iUzELpJB","properties":{"formattedCitation":"(Andrew and Walter n.d.)","plainCitation":"(Andrew and Walter n.d.)","noteIndex":0},"citationItems":[{"id":1252,"uris":["http://zotero.org/users/3096777/items/U8FZHWTB"],"uri":["http://zotero.org/users/3096777/items/U8FZHWTB"],"itemData":{"id":1252,"type":"webpage","title":"Tunnerminnerwait and Maulboyheenner public marker","container-title":"City of Melbourne","abstract":"Artist Brook Andrew, along with Trent Walter, were recently commissioned by the City of Melbourne to develop a public artwork commemorating Tunnerminnerwait and Maulboyheenner, two Tasmanian Aboriginal men who were publicly hanged in Melbourne in 1842.","URL":"http://www.melbourne.vic.gov.au/arts-and-culture/art-outdoors/public-art-melbourne/Pages/tunnerminnerwait-and-maulboyheenner-public-marker.aspx","language":"en-AU","author":[{"family":"Andrew","given":"Brook"},{"family":"Walter","given":"Trent"}],"accessed":{"date-parts":[["2019",3,31]]}}}],"schema":"https://github.com/citation-style-language/schema/raw/master/csl-citation.json"} </w:instrText>
      </w:r>
      <w:r w:rsidRPr="00EA6AFB">
        <w:rPr>
          <w:rFonts w:eastAsia="Times New Roman"/>
          <w:szCs w:val="24"/>
        </w:rPr>
        <w:fldChar w:fldCharType="separate"/>
      </w:r>
      <w:r w:rsidRPr="00EA6AFB">
        <w:rPr>
          <w:rFonts w:eastAsia="Times New Roman"/>
          <w:noProof/>
          <w:szCs w:val="24"/>
        </w:rPr>
        <w:t>(Andrew and Walter n.d.)</w:t>
      </w:r>
      <w:r w:rsidRPr="00EA6AFB">
        <w:rPr>
          <w:rFonts w:eastAsia="Times New Roman"/>
          <w:szCs w:val="24"/>
        </w:rPr>
        <w:fldChar w:fldCharType="end"/>
      </w:r>
      <w:r w:rsidRPr="00EA6AFB">
        <w:rPr>
          <w:rFonts w:eastAsia="Times New Roman"/>
          <w:szCs w:val="24"/>
        </w:rPr>
        <w:t>.</w:t>
      </w:r>
      <w:r w:rsidR="00EA6AFB" w:rsidRPr="00EA6AFB">
        <w:rPr>
          <w:rFonts w:eastAsia="Times New Roman"/>
          <w:szCs w:val="24"/>
        </w:rPr>
        <w:t xml:space="preserve"> </w:t>
      </w:r>
      <w:r w:rsidR="00EA6AFB" w:rsidRPr="00EA6AFB">
        <w:rPr>
          <w:szCs w:val="24"/>
        </w:rPr>
        <w:t xml:space="preserve">Indigenous architect Rueben Berg had a powerful reaction to the piece: “The first time I saw the new work, there was no one around and I was incredibly moved. I push my son on a swing all the time, so </w:t>
      </w:r>
      <w:r w:rsidR="00EA6AFB" w:rsidRPr="00EA6AFB">
        <w:rPr>
          <w:szCs w:val="24"/>
        </w:rPr>
        <w:lastRenderedPageBreak/>
        <w:t xml:space="preserve">even though there was no movement, I could hear the creaking of hanging, and it was quite a disturbing and distressful situation. It was powerful” </w:t>
      </w:r>
      <w:r w:rsidR="00EA6AFB" w:rsidRPr="00EA6AFB">
        <w:rPr>
          <w:szCs w:val="24"/>
        </w:rPr>
        <w:fldChar w:fldCharType="begin"/>
      </w:r>
      <w:r w:rsidR="00EA6AFB" w:rsidRPr="00EA6AFB">
        <w:rPr>
          <w:szCs w:val="24"/>
        </w:rPr>
        <w:instrText xml:space="preserve"> ADDIN ZOTERO_ITEM CSL_CITATION {"citationID":"1kWz8UsB","properties":{"formattedCitation":"(Neath and Andrew 2018, 104)","plainCitation":"(Neath and Andrew 2018, 104)","noteIndex":0},"citationItems":[{"id":1234,"uris":["http://zotero.org/users/3096777/items/A4JKV2PH"],"uri":["http://zotero.org/users/3096777/items/A4JKV2PH"],"itemData":{"id":1234,"type":"chapter","title":"Walking on bones","container-title":"Remembering the Myall Creek Massacre","publisher":"University of New South Wales Press","publisher-place":"Chicago","page":"96-112","source":"ProQuest Ebook Central","event-place":"Chicago","URL":"http://ebookcentral.proquest.com/lib/unc/detail.action?docID=5527926","ISBN":"978-1-74224-419-8","author":[{"family":"Neath","given":"Jessica"},{"family":"Andrew","given":"Brook"}],"editor":[{"family":"Lydon","given":"Jane"},{"family":"Ryan","given":"Lyndall"}],"issued":{"date-parts":[["2018"]]},"accessed":{"date-parts":[["2019",3,30]]}},"locator":"104"}],"schema":"https://github.com/citation-style-language/schema/raw/master/csl-citation.json"} </w:instrText>
      </w:r>
      <w:r w:rsidR="00EA6AFB" w:rsidRPr="00EA6AFB">
        <w:rPr>
          <w:szCs w:val="24"/>
        </w:rPr>
        <w:fldChar w:fldCharType="separate"/>
      </w:r>
      <w:r w:rsidR="00EA6AFB" w:rsidRPr="00EA6AFB">
        <w:rPr>
          <w:noProof/>
          <w:szCs w:val="24"/>
        </w:rPr>
        <w:t>(Neath and Andrew 2018, 104)</w:t>
      </w:r>
      <w:r w:rsidR="00EA6AFB" w:rsidRPr="00EA6AFB">
        <w:rPr>
          <w:szCs w:val="24"/>
        </w:rPr>
        <w:fldChar w:fldCharType="end"/>
      </w:r>
      <w:r w:rsidR="00EA6AFB" w:rsidRPr="00EA6AFB">
        <w:rPr>
          <w:szCs w:val="24"/>
        </w:rPr>
        <w:t>.</w:t>
      </w:r>
    </w:p>
    <w:p w14:paraId="56457F7D" w14:textId="2568B03C" w:rsidR="00F433AE" w:rsidRPr="00EA6AFB" w:rsidRDefault="00EA6AFB" w:rsidP="00EA6AFB">
      <w:pPr>
        <w:spacing w:line="480" w:lineRule="auto"/>
        <w:rPr>
          <w:rFonts w:eastAsia="Times New Roman"/>
          <w:szCs w:val="24"/>
        </w:rPr>
      </w:pPr>
      <w:r w:rsidRPr="00EA6AFB">
        <w:rPr>
          <w:rFonts w:eastAsia="Times New Roman"/>
          <w:szCs w:val="24"/>
        </w:rPr>
        <w:tab/>
        <w:t xml:space="preserve">The memorial is not only an art piece and educational marker but also a site for an annual memorial ceremony. </w:t>
      </w:r>
      <w:r w:rsidR="00F433AE" w:rsidRPr="00EA6AFB">
        <w:rPr>
          <w:szCs w:val="24"/>
        </w:rPr>
        <w:t xml:space="preserve">A plaque informs visitors that the Tunnerminnerwait and Maulboyheener Commemoration Committee holds an annual memorial service at the site. Indigenous community leaders as well as non-Indigenous Australians are involved in this ceremony. Further, the artists’ statement explains that the intended audience for the piece is for “Melbourne locals and visitors” alike </w:t>
      </w:r>
      <w:r w:rsidR="00F433AE" w:rsidRPr="00EA6AFB">
        <w:rPr>
          <w:szCs w:val="24"/>
        </w:rPr>
        <w:fldChar w:fldCharType="begin"/>
      </w:r>
      <w:r w:rsidR="00F433AE" w:rsidRPr="00EA6AFB">
        <w:rPr>
          <w:szCs w:val="24"/>
        </w:rPr>
        <w:instrText xml:space="preserve"> ADDIN ZOTERO_ITEM CSL_CITATION {"citationID":"g6ZtV7Qc","properties":{"formattedCitation":"(Andrew and Walter n.d.)","plainCitation":"(Andrew and Walter n.d.)","noteIndex":0},"citationItems":[{"id":1252,"uris":["http://zotero.org/users/3096777/items/U8FZHWTB"],"uri":["http://zotero.org/users/3096777/items/U8FZHWTB"],"itemData":{"id":1252,"type":"webpage","title":"Tunnerminnerwait and Maulboyheenner public marker","container-title":"City of Melbourne","abstract":"Artist Brook Andrew, along with Trent Walter, were recently commissioned by the City of Melbourne to develop a public artwork commemorating Tunnerminnerwait and Maulboyheenner, two Tasmanian Aboriginal men who were publicly hanged in Melbourne in 1842.","URL":"http://www.melbourne.vic.gov.au/arts-and-culture/art-outdoors/public-art-melbourne/Pages/tunnerminnerwait-and-maulboyheenner-public-marker.aspx","language":"en-AU","author":[{"family":"Andrew","given":"Brook"},{"family":"Walter","given":"Trent"}],"accessed":{"date-parts":[["2019",3,31]]}}}],"schema":"https://github.com/citation-style-language/schema/raw/master/csl-citation.json"} </w:instrText>
      </w:r>
      <w:r w:rsidR="00F433AE" w:rsidRPr="00EA6AFB">
        <w:rPr>
          <w:szCs w:val="24"/>
        </w:rPr>
        <w:fldChar w:fldCharType="separate"/>
      </w:r>
      <w:r w:rsidR="00F433AE" w:rsidRPr="00EA6AFB">
        <w:rPr>
          <w:noProof/>
          <w:szCs w:val="24"/>
        </w:rPr>
        <w:t>(Andrew and Walter n.d.)</w:t>
      </w:r>
      <w:r w:rsidR="00F433AE" w:rsidRPr="00EA6AFB">
        <w:rPr>
          <w:szCs w:val="24"/>
        </w:rPr>
        <w:fldChar w:fldCharType="end"/>
      </w:r>
      <w:r w:rsidR="00F433AE" w:rsidRPr="00EA6AFB">
        <w:rPr>
          <w:szCs w:val="24"/>
        </w:rPr>
        <w:t>.</w:t>
      </w:r>
    </w:p>
    <w:p w14:paraId="5855FFE1" w14:textId="589A984B" w:rsidR="005A14A3" w:rsidRDefault="005A14A3" w:rsidP="005A14A3">
      <w:pPr>
        <w:rPr>
          <w:color w:val="FF0000"/>
          <w:szCs w:val="24"/>
        </w:rPr>
      </w:pPr>
    </w:p>
    <w:p w14:paraId="2537E99C" w14:textId="6C51DA85" w:rsidR="005A14A3" w:rsidRPr="004B428B" w:rsidRDefault="005A14A3" w:rsidP="005A14A3">
      <w:pPr>
        <w:pStyle w:val="Heading2"/>
      </w:pPr>
      <w:r w:rsidRPr="004B428B">
        <w:t>The Myall Creek Massacre Memorial</w:t>
      </w:r>
    </w:p>
    <w:p w14:paraId="3DD165B7" w14:textId="77777777" w:rsidR="005A14A3" w:rsidRPr="005A14A3" w:rsidRDefault="005A14A3" w:rsidP="005A14A3">
      <w:pPr>
        <w:rPr>
          <w:color w:val="FF0000"/>
          <w:szCs w:val="24"/>
        </w:rPr>
      </w:pPr>
    </w:p>
    <w:p w14:paraId="4A537768" w14:textId="69D924C3" w:rsidR="0090697A" w:rsidRDefault="004B428B" w:rsidP="0090697A">
      <w:pPr>
        <w:spacing w:line="480" w:lineRule="auto"/>
        <w:rPr>
          <w:szCs w:val="24"/>
        </w:rPr>
      </w:pPr>
      <w:r w:rsidRPr="004B428B">
        <w:rPr>
          <w:szCs w:val="24"/>
        </w:rPr>
        <w:t xml:space="preserve">The Myall Creek Massacre is one of the best-documented massacres of Indigenous people in Australia. At Myall Creek </w:t>
      </w:r>
      <w:r>
        <w:rPr>
          <w:szCs w:val="24"/>
        </w:rPr>
        <w:t xml:space="preserve">in New South Wales </w:t>
      </w:r>
      <w:r w:rsidRPr="004B428B">
        <w:rPr>
          <w:szCs w:val="24"/>
        </w:rPr>
        <w:t xml:space="preserve">in 1838, 12 white settlers killed 28 Wirrayaraay men, women and children. The next day, the killers came back to burn the bodies. The massacre was ostensibly in retaliation for the theft of cattle and the killing of a white stockman in the region, although even contemporaries of the murderers recognized them not as an act of revenge but as an act of terror </w:t>
      </w:r>
      <w:r w:rsidRPr="004B428B">
        <w:rPr>
          <w:szCs w:val="24"/>
        </w:rPr>
        <w:fldChar w:fldCharType="begin"/>
      </w:r>
      <w:r w:rsidRPr="004B428B">
        <w:rPr>
          <w:szCs w:val="24"/>
        </w:rPr>
        <w:instrText xml:space="preserve"> ADDIN ZOTERO_ITEM CSL_CITATION {"citationID":"qAoPdqdu","properties":{"formattedCitation":"(Ryan and Lydon 2018, 15)","plainCitation":"(Ryan and Lydon 2018, 15)","noteIndex":0},"citationItems":[{"id":1237,"uris":["http://zotero.org/users/3096777/items/LQKCTQZ7"],"uri":["http://zotero.org/users/3096777/items/LQKCTQZ7"],"itemData":{"id":1237,"type":"chapter","title":"Introduction: remembering Myall Creek","container-title":"Remembering the Myall Creek Massacre","publisher":"University of New South Wales Press","publisher-place":"Sydney","page":"13-20","event-place":"Sydney","author":[{"family":"Ryan","given":"Lyndall"},{"family":"Lydon","given":"Jane"}],"editor":[{"family":"Lydon","given":"Jane"},{"family":"Ryan","given":"Lyndall"}],"issued":{"date-parts":[["2018"]]}},"locator":"15"}],"schema":"https://github.com/citation-style-language/schema/raw/master/csl-citation.json"} </w:instrText>
      </w:r>
      <w:r w:rsidRPr="004B428B">
        <w:rPr>
          <w:szCs w:val="24"/>
        </w:rPr>
        <w:fldChar w:fldCharType="separate"/>
      </w:r>
      <w:r w:rsidRPr="004B428B">
        <w:rPr>
          <w:noProof/>
          <w:szCs w:val="24"/>
        </w:rPr>
        <w:t>(Ryan and Lydon 2018, 15)</w:t>
      </w:r>
      <w:r w:rsidRPr="004B428B">
        <w:rPr>
          <w:szCs w:val="24"/>
        </w:rPr>
        <w:fldChar w:fldCharType="end"/>
      </w:r>
      <w:r w:rsidRPr="004B428B">
        <w:rPr>
          <w:szCs w:val="24"/>
        </w:rPr>
        <w:t xml:space="preserve">. Unlike most massacres, seven of the perpetrators of these crimes were successfully prosecuted by the colonial government, despite the only witness to the massacre, a station hand named Yintayintin, being legally unable to testify in court because he was Indigenous </w:t>
      </w:r>
      <w:r w:rsidRPr="004B428B">
        <w:rPr>
          <w:szCs w:val="24"/>
        </w:rPr>
        <w:fldChar w:fldCharType="begin"/>
      </w:r>
      <w:r w:rsidRPr="004B428B">
        <w:rPr>
          <w:szCs w:val="24"/>
        </w:rPr>
        <w:instrText xml:space="preserve"> ADDIN ZOTERO_ITEM CSL_CITATION {"citationID":"yvJsGFPW","properties":{"formattedCitation":"(Tedeschi 2018, 114\\uc0\\u8211{}15)","plainCitation":"(Tedeschi 2018, 114–15)","noteIndex":0},"citationItems":[{"id":1236,"uris":["http://zotero.org/users/3096777/items/CTF7DB8R"],"uri":["http://zotero.org/users/3096777/items/CTF7DB8R"],"itemData":{"id":1236,"type":"chapter","title":"Afterword","container-title":"Remembering the Myall Creek Massacre","publisher":"University of New South Wales Press","publisher-place":"Sydney","page":"113-116","event-place":"Sydney","author":[{"family":"Tedeschi","given":"Mark"}],"editor":[{"family":"Lydon","given":"Jane"},{"family":"Ryan","given":"Lyndall"}],"issued":{"date-parts":[["2018"]]}},"locator":"114-115"}],"schema":"https://github.com/citation-style-language/schema/raw/master/csl-citation.json"} </w:instrText>
      </w:r>
      <w:r w:rsidRPr="004B428B">
        <w:rPr>
          <w:szCs w:val="24"/>
        </w:rPr>
        <w:fldChar w:fldCharType="separate"/>
      </w:r>
      <w:r w:rsidRPr="004B428B">
        <w:rPr>
          <w:szCs w:val="24"/>
        </w:rPr>
        <w:t>(Tedeschi 2018, 114–15)</w:t>
      </w:r>
      <w:r w:rsidRPr="004B428B">
        <w:rPr>
          <w:szCs w:val="24"/>
        </w:rPr>
        <w:fldChar w:fldCharType="end"/>
      </w:r>
      <w:r w:rsidRPr="004B428B">
        <w:rPr>
          <w:szCs w:val="24"/>
        </w:rPr>
        <w:t xml:space="preserve">. However, the ringleader, John Fleming, escaped arrest and quickly returned to public life </w:t>
      </w:r>
      <w:r w:rsidRPr="004B428B">
        <w:rPr>
          <w:szCs w:val="24"/>
        </w:rPr>
        <w:fldChar w:fldCharType="begin"/>
      </w:r>
      <w:r w:rsidRPr="004B428B">
        <w:rPr>
          <w:szCs w:val="24"/>
        </w:rPr>
        <w:instrText xml:space="preserve"> ADDIN ZOTERO_ITEM CSL_CITATION {"citationID":"2HuAXakp","properties":{"formattedCitation":"(Ryan and Lydon 2018, 14)","plainCitation":"(Ryan and Lydon 2018, 14)","noteIndex":0},"citationItems":[{"id":1237,"uris":["http://zotero.org/users/3096777/items/LQKCTQZ7"],"uri":["http://zotero.org/users/3096777/items/LQKCTQZ7"],"itemData":{"id":1237,"type":"chapter","title":"Introduction: remembering Myall Creek","container-title":"Remembering the Myall Creek Massacre","publisher":"University of New South Wales Press","publisher-place":"Sydney","page":"13-20","event-place":"Sydney","author":[{"family":"Ryan","given":"Lyndall"},{"family":"Lydon","given":"Jane"}],"editor":[{"family":"Lydon","given":"Jane"},{"family":"Ryan","given":"Lyndall"}],"issued":{"date-parts":[["2018"]]}},"locator":"14"}],"schema":"https://github.com/citation-style-language/schema/raw/master/csl-citation.json"} </w:instrText>
      </w:r>
      <w:r w:rsidRPr="004B428B">
        <w:rPr>
          <w:szCs w:val="24"/>
        </w:rPr>
        <w:fldChar w:fldCharType="separate"/>
      </w:r>
      <w:r w:rsidRPr="004B428B">
        <w:rPr>
          <w:noProof/>
          <w:szCs w:val="24"/>
        </w:rPr>
        <w:t>(Ryan and Lydon 2018, 14)</w:t>
      </w:r>
      <w:r w:rsidRPr="004B428B">
        <w:rPr>
          <w:szCs w:val="24"/>
        </w:rPr>
        <w:fldChar w:fldCharType="end"/>
      </w:r>
      <w:r w:rsidRPr="004B428B">
        <w:rPr>
          <w:szCs w:val="24"/>
        </w:rPr>
        <w:t xml:space="preserve">. As for the rest of the perpetrators, the settler population of New South Wales was outraged not by the murder of Aboriginal people but by the prosecution of the murderers for a commonplace crime like murdering Aboriginal people </w:t>
      </w:r>
      <w:r w:rsidRPr="004B428B">
        <w:rPr>
          <w:szCs w:val="24"/>
        </w:rPr>
        <w:fldChar w:fldCharType="begin"/>
      </w:r>
      <w:r w:rsidR="008F2679">
        <w:rPr>
          <w:szCs w:val="24"/>
        </w:rPr>
        <w:instrText xml:space="preserve"> ADDIN ZOTERO_ITEM CSL_CITATION {"citationID":"2Mzz9f8L","properties":{"formattedCitation":"(Maynard 2018, 89)","plainCitation":"(Maynard 2018, 89)","noteIndex":0},"citationItems":[{"id":1238,"uris":["http://zotero.org/users/3096777/items/HU9AWD2N"],"uri":["http://zotero.org/users/3096777/items/HU9AWD2N"],"itemData":{"id":1238,"type":"chapter","title":"Myall Creek Memories","container-title":"Remembering the Myall Creek Massacre","publisher":"University of New South Wales Press","publisher-place":"Sydney","page":"87-95","event-place":"Sydney","author":[{"family":"Maynard","given":"John"}],"editor":[{"family":"Lydon","given":"Jane"},{"family":"Ryan","given":"Lyndall"}],"issued":{"date-parts":[["2018"]]}},"locator":"89"}],"schema":"https://github.com/citation-style-language/schema/raw/master/csl-citation.json"} </w:instrText>
      </w:r>
      <w:r w:rsidRPr="004B428B">
        <w:rPr>
          <w:szCs w:val="24"/>
        </w:rPr>
        <w:fldChar w:fldCharType="separate"/>
      </w:r>
      <w:r w:rsidRPr="004B428B">
        <w:rPr>
          <w:noProof/>
          <w:szCs w:val="24"/>
        </w:rPr>
        <w:t>(Maynard 2018, 89)</w:t>
      </w:r>
      <w:r w:rsidRPr="004B428B">
        <w:rPr>
          <w:szCs w:val="24"/>
        </w:rPr>
        <w:fldChar w:fldCharType="end"/>
      </w:r>
      <w:r w:rsidRPr="004B428B">
        <w:rPr>
          <w:szCs w:val="24"/>
        </w:rPr>
        <w:t>.</w:t>
      </w:r>
    </w:p>
    <w:p w14:paraId="13F62CE8" w14:textId="4946A200" w:rsidR="00F37F75" w:rsidRDefault="0090697A" w:rsidP="00F37F75">
      <w:pPr>
        <w:spacing w:line="480" w:lineRule="auto"/>
        <w:rPr>
          <w:szCs w:val="24"/>
        </w:rPr>
      </w:pPr>
      <w:r w:rsidRPr="0087756B">
        <w:rPr>
          <w:szCs w:val="24"/>
        </w:rPr>
        <w:lastRenderedPageBreak/>
        <w:tab/>
        <w:t xml:space="preserve">Deliberations about its creation began in the 1960s, but the memorial was organized in the late 1990s by a group led by Sue Blacklock and members of the local Wirrayaraay community </w:t>
      </w:r>
      <w:r w:rsidRPr="0087756B">
        <w:rPr>
          <w:szCs w:val="24"/>
        </w:rPr>
        <w:fldChar w:fldCharType="begin"/>
      </w:r>
      <w:r w:rsidRPr="0087756B">
        <w:rPr>
          <w:szCs w:val="24"/>
        </w:rPr>
        <w:instrText xml:space="preserve"> ADDIN ZOTERO_ITEM CSL_CITATION {"citationID":"lzN3F2oj","properties":{"formattedCitation":"(Batten and Batten 2008, 106)","plainCitation":"(Batten and Batten 2008, 106)","noteIndex":0},"citationItems":[{"id":1216,"uris":["http://zotero.org/users/3096777/items/FIB2PFCG"],"uri":["http://zotero.org/users/3096777/items/FIB2PFCG"],"itemData":{"id":1216,"type":"article-journal","title":"Memorialising the Past: Is there an Aboriginal Way?","container-title":"Public History Review","page":"92-116","volume":"15","author":[{"family":"Batten","given":"Bronwyn"},{"family":"Batten","given":"Paul"}],"issued":{"date-parts":[["2008"]]}},"locator":"106"}],"schema":"https://github.com/citation-style-language/schema/raw/master/csl-citation.json"} </w:instrText>
      </w:r>
      <w:r w:rsidRPr="0087756B">
        <w:rPr>
          <w:szCs w:val="24"/>
        </w:rPr>
        <w:fldChar w:fldCharType="separate"/>
      </w:r>
      <w:r w:rsidRPr="0087756B">
        <w:rPr>
          <w:noProof/>
          <w:szCs w:val="24"/>
        </w:rPr>
        <w:t>(Batten and Batten 2008, 106)</w:t>
      </w:r>
      <w:r w:rsidRPr="0087756B">
        <w:rPr>
          <w:szCs w:val="24"/>
        </w:rPr>
        <w:fldChar w:fldCharType="end"/>
      </w:r>
      <w:r w:rsidRPr="0087756B">
        <w:rPr>
          <w:szCs w:val="24"/>
        </w:rPr>
        <w:t xml:space="preserve">. The organizing committee ultimately included both descendants of massacre survivors and descendants of local settlers, including one woman descended from a perpetrator of the massacre </w:t>
      </w:r>
      <w:r w:rsidRPr="0087756B">
        <w:rPr>
          <w:szCs w:val="24"/>
        </w:rPr>
        <w:fldChar w:fldCharType="begin"/>
      </w:r>
      <w:r w:rsidRPr="0087756B">
        <w:rPr>
          <w:szCs w:val="24"/>
        </w:rPr>
        <w:instrText xml:space="preserve"> ADDIN ZOTERO_ITEM CSL_CITATION {"citationID":"LzhEbwo9","properties":{"formattedCitation":"(Ryan and Lydon 2018)","plainCitation":"(Ryan and Lydon 2018)","noteIndex":0},"citationItems":[{"id":1237,"uris":["http://zotero.org/users/3096777/items/LQKCTQZ7"],"uri":["http://zotero.org/users/3096777/items/LQKCTQZ7"],"itemData":{"id":1237,"type":"chapter","title":"Introduction: remembering Myall Creek","container-title":"Remembering the Myall Creek Massacre","publisher":"University of New South Wales Press","publisher-place":"Sydney","page":"13-20","event-place":"Sydney","author":[{"family":"Ryan","given":"Lyndall"},{"family":"Lydon","given":"Jane"}],"editor":[{"family":"Lydon","given":"Jane"},{"family":"Ryan","given":"Lyndall"}],"issued":{"date-parts":[["2018"]]}}}],"schema":"https://github.com/citation-style-language/schema/raw/master/csl-citation.json"} </w:instrText>
      </w:r>
      <w:r w:rsidRPr="0087756B">
        <w:rPr>
          <w:szCs w:val="24"/>
        </w:rPr>
        <w:fldChar w:fldCharType="separate"/>
      </w:r>
      <w:r w:rsidRPr="0087756B">
        <w:rPr>
          <w:noProof/>
          <w:szCs w:val="24"/>
        </w:rPr>
        <w:t>(Ryan and Lydon 2018)</w:t>
      </w:r>
      <w:r w:rsidRPr="0087756B">
        <w:rPr>
          <w:szCs w:val="24"/>
        </w:rPr>
        <w:fldChar w:fldCharType="end"/>
      </w:r>
      <w:r w:rsidRPr="0087756B">
        <w:rPr>
          <w:szCs w:val="24"/>
        </w:rPr>
        <w:t>. The committee</w:t>
      </w:r>
      <w:r w:rsidR="0087756B" w:rsidRPr="0087756B">
        <w:rPr>
          <w:szCs w:val="24"/>
        </w:rPr>
        <w:t xml:space="preserve">, composed of members of both victim and oppressor groups who came together, </w:t>
      </w:r>
      <w:r w:rsidR="0087756B" w:rsidRPr="0087756B">
        <w:rPr>
          <w:szCs w:val="24"/>
        </w:rPr>
        <w:fldChar w:fldCharType="begin"/>
      </w:r>
      <w:r w:rsidR="0087756B" w:rsidRPr="0087756B">
        <w:rPr>
          <w:szCs w:val="24"/>
        </w:rPr>
        <w:instrText xml:space="preserve"> ADDIN ZOTERO_ITEM CSL_CITATION {"citationID":"NDOpNlkq","properties":{"formattedCitation":"(Neath and Andrew 2018, 97)","plainCitation":"(Neath and Andrew 2018, 97)","noteIndex":0},"citationItems":[{"id":1234,"uris":["http://zotero.org/users/3096777/items/A4JKV2PH"],"uri":["http://zotero.org/users/3096777/items/A4JKV2PH"],"itemData":{"id":1234,"type":"chapter","title":"Walking on bones","container-title":"Remembering the Myall Creek Massacre","publisher":"University of New South Wales Press","publisher-place":"Chicago","page":"96-112","source":"ProQuest Ebook Central","event-place":"Chicago","URL":"http://ebookcentral.proquest.com/lib/unc/detail.action?docID=5527926","ISBN":"978-1-74224-419-8","author":[{"family":"Neath","given":"Jessica"},{"family":"Andrew","given":"Brook"}],"editor":[{"family":"Lydon","given":"Jane"},{"family":"Ryan","given":"Lyndall"}],"issued":{"date-parts":[["2018"]]},"accessed":{"date-parts":[["2019",3,30]]}},"locator":"97"}],"schema":"https://github.com/citation-style-language/schema/raw/master/csl-citation.json"} </w:instrText>
      </w:r>
      <w:r w:rsidR="0087756B" w:rsidRPr="0087756B">
        <w:rPr>
          <w:szCs w:val="24"/>
        </w:rPr>
        <w:fldChar w:fldCharType="separate"/>
      </w:r>
      <w:r w:rsidR="0087756B" w:rsidRPr="0087756B">
        <w:rPr>
          <w:noProof/>
          <w:szCs w:val="24"/>
        </w:rPr>
        <w:t>(Neath and Andrew 2018, 97)</w:t>
      </w:r>
      <w:r w:rsidR="0087756B" w:rsidRPr="0087756B">
        <w:rPr>
          <w:szCs w:val="24"/>
        </w:rPr>
        <w:fldChar w:fldCharType="end"/>
      </w:r>
      <w:r w:rsidR="0087756B" w:rsidRPr="0087756B">
        <w:rPr>
          <w:szCs w:val="24"/>
        </w:rPr>
        <w:t xml:space="preserve">, </w:t>
      </w:r>
      <w:r w:rsidRPr="0087756B">
        <w:rPr>
          <w:szCs w:val="24"/>
        </w:rPr>
        <w:t xml:space="preserve">stressed a “powerful message of forgiveness and reconciliation” </w:t>
      </w:r>
      <w:r w:rsidRPr="0087756B">
        <w:rPr>
          <w:szCs w:val="24"/>
        </w:rPr>
        <w:fldChar w:fldCharType="begin"/>
      </w:r>
      <w:r w:rsidRPr="0087756B">
        <w:rPr>
          <w:szCs w:val="24"/>
        </w:rPr>
        <w:instrText xml:space="preserve"> ADDIN ZOTERO_ITEM CSL_CITATION {"citationID":"rDz7xbk1","properties":{"formattedCitation":"(Ryan and Lydon 2018, 17)","plainCitation":"(Ryan and Lydon 2018, 17)","noteIndex":0},"citationItems":[{"id":1237,"uris":["http://zotero.org/users/3096777/items/LQKCTQZ7"],"uri":["http://zotero.org/users/3096777/items/LQKCTQZ7"],"itemData":{"id":1237,"type":"chapter","title":"Introduction: remembering Myall Creek","container-title":"Remembering the Myall Creek Massacre","publisher":"University of New South Wales Press","publisher-place":"Sydney","page":"13-20","event-place":"Sydney","author":[{"family":"Ryan","given":"Lyndall"},{"family":"Lydon","given":"Jane"}],"editor":[{"family":"Lydon","given":"Jane"},{"family":"Ryan","given":"Lyndall"}],"issued":{"date-parts":[["2018"]]}},"locator":"17"}],"schema":"https://github.com/citation-style-language/schema/raw/master/csl-citation.json"} </w:instrText>
      </w:r>
      <w:r w:rsidRPr="0087756B">
        <w:rPr>
          <w:szCs w:val="24"/>
        </w:rPr>
        <w:fldChar w:fldCharType="separate"/>
      </w:r>
      <w:r w:rsidRPr="0087756B">
        <w:rPr>
          <w:noProof/>
          <w:szCs w:val="24"/>
        </w:rPr>
        <w:t>(Ryan and Lydon 2018, 17)</w:t>
      </w:r>
      <w:r w:rsidRPr="0087756B">
        <w:rPr>
          <w:szCs w:val="24"/>
        </w:rPr>
        <w:fldChar w:fldCharType="end"/>
      </w:r>
      <w:r w:rsidR="00F37F75">
        <w:rPr>
          <w:szCs w:val="24"/>
        </w:rPr>
        <w:t>.</w:t>
      </w:r>
    </w:p>
    <w:p w14:paraId="1AAA7F7C" w14:textId="1F4776FA" w:rsidR="00F37F75" w:rsidRDefault="00F433AE" w:rsidP="00F37F75">
      <w:pPr>
        <w:spacing w:line="480" w:lineRule="auto"/>
        <w:ind w:firstLine="720"/>
        <w:rPr>
          <w:szCs w:val="24"/>
        </w:rPr>
      </w:pPr>
      <w:r w:rsidRPr="00F37F75">
        <w:rPr>
          <w:szCs w:val="24"/>
        </w:rPr>
        <w:t xml:space="preserve">The permanent memorial was built and opened in 2000 and added to the National Heritage List in 2008 </w:t>
      </w:r>
      <w:r w:rsidRPr="00F37F75">
        <w:rPr>
          <w:szCs w:val="24"/>
        </w:rPr>
        <w:fldChar w:fldCharType="begin"/>
      </w:r>
      <w:r w:rsidRPr="00F37F75">
        <w:rPr>
          <w:szCs w:val="24"/>
        </w:rPr>
        <w:instrText xml:space="preserve"> ADDIN ZOTERO_ITEM CSL_CITATION {"citationID":"nnYDPKgQ","properties":{"formattedCitation":"(Ryan and Lydon 2018)","plainCitation":"(Ryan and Lydon 2018)","noteIndex":0},"citationItems":[{"id":1237,"uris":["http://zotero.org/users/3096777/items/LQKCTQZ7"],"uri":["http://zotero.org/users/3096777/items/LQKCTQZ7"],"itemData":{"id":1237,"type":"chapter","title":"Introduction: remembering Myall Creek","container-title":"Remembering the Myall Creek Massacre","publisher":"University of New South Wales Press","publisher-place":"Sydney","page":"13-20","event-place":"Sydney","author":[{"family":"Ryan","given":"Lyndall"},{"family":"Lydon","given":"Jane"}],"editor":[{"family":"Lydon","given":"Jane"},{"family":"Ryan","given":"Lyndall"}],"issued":{"date-parts":[["2018"]]}}}],"schema":"https://github.com/citation-style-language/schema/raw/master/csl-citation.json"} </w:instrText>
      </w:r>
      <w:r w:rsidRPr="00F37F75">
        <w:rPr>
          <w:szCs w:val="24"/>
        </w:rPr>
        <w:fldChar w:fldCharType="separate"/>
      </w:r>
      <w:r w:rsidRPr="00F37F75">
        <w:rPr>
          <w:noProof/>
          <w:szCs w:val="24"/>
        </w:rPr>
        <w:t>(Ryan and Lydon 2018)</w:t>
      </w:r>
      <w:r w:rsidRPr="00F37F75">
        <w:rPr>
          <w:szCs w:val="24"/>
        </w:rPr>
        <w:fldChar w:fldCharType="end"/>
      </w:r>
      <w:r w:rsidRPr="00F37F75">
        <w:rPr>
          <w:szCs w:val="24"/>
        </w:rPr>
        <w:t xml:space="preserve">. </w:t>
      </w:r>
      <w:r w:rsidR="008E4410" w:rsidRPr="00F37F75">
        <w:rPr>
          <w:szCs w:val="24"/>
        </w:rPr>
        <w:t xml:space="preserve">It consists of a winding walkway through bush and trees, with granite markers with etchings in English and the local Indigenous language, Gamilaroi, documenting the events of the massacre. </w:t>
      </w:r>
      <w:r w:rsidR="007C2093" w:rsidRPr="00F37F75">
        <w:rPr>
          <w:szCs w:val="24"/>
        </w:rPr>
        <w:t>The path culminates in an overlook over the massacre site, where a large boulder is etched with words of remembrance.</w:t>
      </w:r>
      <w:r w:rsidR="00AE65BC" w:rsidRPr="00F37F75">
        <w:rPr>
          <w:rStyle w:val="FootnoteReference"/>
          <w:szCs w:val="24"/>
        </w:rPr>
        <w:footnoteReference w:id="10"/>
      </w:r>
      <w:r w:rsidR="007C2093" w:rsidRPr="00F37F75">
        <w:rPr>
          <w:szCs w:val="24"/>
        </w:rPr>
        <w:t xml:space="preserve"> </w:t>
      </w:r>
      <w:r w:rsidR="00F37F75" w:rsidRPr="00F37F75">
        <w:rPr>
          <w:szCs w:val="24"/>
        </w:rPr>
        <w:t xml:space="preserve">Many memorials integrate “natural” materials and landscaping in an effort to honor Indigenous practices surrounding respect for country, in contrast to the “European” tradition of memorializing significant figures through busts and statues of individual figures </w:t>
      </w:r>
      <w:r w:rsidR="00F37F75" w:rsidRPr="00F37F75">
        <w:rPr>
          <w:szCs w:val="24"/>
        </w:rPr>
        <w:fldChar w:fldCharType="begin"/>
      </w:r>
      <w:r w:rsidR="00F37F75" w:rsidRPr="00F37F75">
        <w:rPr>
          <w:szCs w:val="24"/>
        </w:rPr>
        <w:instrText xml:space="preserve"> ADDIN ZOTERO_ITEM CSL_CITATION {"citationID":"5RT8vTjO","properties":{"formattedCitation":"(Batten and Batten 2008)","plainCitation":"(Batten and Batten 2008)","noteIndex":0},"citationItems":[{"id":1216,"uris":["http://zotero.org/users/3096777/items/FIB2PFCG"],"uri":["http://zotero.org/users/3096777/items/FIB2PFCG"],"itemData":{"id":1216,"type":"article-journal","title":"Memorialising the Past: Is there an Aboriginal Way?","container-title":"Public History Review","page":"92-116","volume":"15","author":[{"family":"Batten","given":"Bronwyn"},{"family":"Batten","given":"Paul"}],"issued":{"date-parts":[["2008"]]}}}],"schema":"https://github.com/citation-style-language/schema/raw/master/csl-citation.json"} </w:instrText>
      </w:r>
      <w:r w:rsidR="00F37F75" w:rsidRPr="00F37F75">
        <w:rPr>
          <w:szCs w:val="24"/>
        </w:rPr>
        <w:fldChar w:fldCharType="separate"/>
      </w:r>
      <w:r w:rsidR="00F37F75" w:rsidRPr="00F37F75">
        <w:rPr>
          <w:noProof/>
          <w:szCs w:val="24"/>
        </w:rPr>
        <w:t>(Batten and Batten 2008)</w:t>
      </w:r>
      <w:r w:rsidR="00F37F75" w:rsidRPr="00F37F75">
        <w:rPr>
          <w:szCs w:val="24"/>
        </w:rPr>
        <w:fldChar w:fldCharType="end"/>
      </w:r>
      <w:r w:rsidR="00F37F75" w:rsidRPr="00F37F75">
        <w:rPr>
          <w:szCs w:val="24"/>
        </w:rPr>
        <w:t xml:space="preserve">. In contrast to “Standing by Tunnerminnerwait and Maulboyheener,” the Myall Creek Massacre Memorial uses far more “natural” materials and is integrated into the surrounding landscape. Just as “Standing by” is integrated into its urban landscape and includes symbols of urban life and Melbourne’s history, the Myall Creek Memorial is also very contextually situated in its </w:t>
      </w:r>
      <w:r w:rsidR="00F37F75" w:rsidRPr="00F37F75">
        <w:rPr>
          <w:szCs w:val="24"/>
        </w:rPr>
        <w:lastRenderedPageBreak/>
        <w:t xml:space="preserve">surroundings. </w:t>
      </w:r>
      <w:r w:rsidR="00702376">
        <w:rPr>
          <w:szCs w:val="24"/>
        </w:rPr>
        <w:t>This was a conscious effort by the committee, including by Indigenous organizers, to respect and integrate the memorial into the natural surroundings.</w:t>
      </w:r>
    </w:p>
    <w:p w14:paraId="2209A904" w14:textId="0AC24C05" w:rsidR="00F433AE" w:rsidRPr="00B379AE" w:rsidRDefault="008E4410" w:rsidP="00B379AE">
      <w:pPr>
        <w:spacing w:line="480" w:lineRule="auto"/>
        <w:ind w:firstLine="720"/>
        <w:rPr>
          <w:szCs w:val="24"/>
        </w:rPr>
      </w:pPr>
      <w:r w:rsidRPr="00B379AE">
        <w:rPr>
          <w:szCs w:val="24"/>
        </w:rPr>
        <w:t xml:space="preserve">Like at “Standing by Tunnerminnerwait and Maulboyheener,” </w:t>
      </w:r>
      <w:r w:rsidR="0021170C">
        <w:rPr>
          <w:szCs w:val="24"/>
        </w:rPr>
        <w:t>e</w:t>
      </w:r>
      <w:r w:rsidR="00F433AE" w:rsidRPr="00B379AE">
        <w:rPr>
          <w:szCs w:val="24"/>
        </w:rPr>
        <w:t>very year a dedication ceremony is held, with remarks by a historian, public figure, or community member and a ceremonial walk of hundreds of participants down to the central part of the memorial site.</w:t>
      </w:r>
      <w:r w:rsidR="007C2093" w:rsidRPr="00B379AE">
        <w:rPr>
          <w:szCs w:val="24"/>
        </w:rPr>
        <w:t xml:space="preserve"> At some recent ceremonies, schoolchildren have lined the path as participants in the memorial walked down the path. </w:t>
      </w:r>
      <w:r w:rsidR="00F433AE" w:rsidRPr="00B379AE">
        <w:rPr>
          <w:szCs w:val="24"/>
        </w:rPr>
        <w:t xml:space="preserve">At </w:t>
      </w:r>
      <w:r w:rsidR="00B379AE" w:rsidRPr="00B379AE">
        <w:rPr>
          <w:szCs w:val="24"/>
        </w:rPr>
        <w:t>the</w:t>
      </w:r>
      <w:r w:rsidR="00F433AE" w:rsidRPr="00B379AE">
        <w:rPr>
          <w:szCs w:val="24"/>
        </w:rPr>
        <w:t xml:space="preserve"> 2017 remembrance </w:t>
      </w:r>
      <w:r w:rsidR="00B379AE">
        <w:rPr>
          <w:szCs w:val="24"/>
        </w:rPr>
        <w:t>ceremony</w:t>
      </w:r>
      <w:r w:rsidR="00F433AE" w:rsidRPr="00B379AE">
        <w:rPr>
          <w:szCs w:val="24"/>
        </w:rPr>
        <w:t xml:space="preserve">, Chief Crown Prosecutor for New South Wales and Indigenous Mark Tedeschi said, “If we acknowledge that Aboriginal communities were subjected to massacres in a multitude of locations all over Australia for more than an a century there may be more sympathy for the current generations striving for equanimity, understanding and acceptance” </w:t>
      </w:r>
      <w:r w:rsidR="00F433AE" w:rsidRPr="00B379AE">
        <w:rPr>
          <w:szCs w:val="24"/>
        </w:rPr>
        <w:fldChar w:fldCharType="begin"/>
      </w:r>
      <w:r w:rsidR="00F433AE" w:rsidRPr="00B379AE">
        <w:rPr>
          <w:szCs w:val="24"/>
        </w:rPr>
        <w:instrText xml:space="preserve"> ADDIN ZOTERO_ITEM CSL_CITATION {"citationID":"STXx1mAy","properties":{"formattedCitation":"(Tedeschi 2018, 115\\uc0\\u8211{}16)","plainCitation":"(Tedeschi 2018, 115–16)","noteIndex":0},"citationItems":[{"id":1236,"uris":["http://zotero.org/users/3096777/items/CTF7DB8R"],"uri":["http://zotero.org/users/3096777/items/CTF7DB8R"],"itemData":{"id":1236,"type":"chapter","title":"Afterword","container-title":"Remembering the Myall Creek Massacre","publisher":"University of New South Wales Press","publisher-place":"Sydney","page":"113-116","event-place":"Sydney","author":[{"family":"Tedeschi","given":"Mark"}],"editor":[{"family":"Lydon","given":"Jane"},{"family":"Ryan","given":"Lyndall"}],"issued":{"date-parts":[["2018"]]}},"locator":"115-116"}],"schema":"https://github.com/citation-style-language/schema/raw/master/csl-citation.json"} </w:instrText>
      </w:r>
      <w:r w:rsidR="00F433AE" w:rsidRPr="00B379AE">
        <w:rPr>
          <w:szCs w:val="24"/>
        </w:rPr>
        <w:fldChar w:fldCharType="separate"/>
      </w:r>
      <w:r w:rsidR="00F433AE" w:rsidRPr="00B379AE">
        <w:rPr>
          <w:szCs w:val="24"/>
        </w:rPr>
        <w:t>(Tedeschi 2018, 115–16)</w:t>
      </w:r>
      <w:r w:rsidR="00F433AE" w:rsidRPr="00B379AE">
        <w:rPr>
          <w:szCs w:val="24"/>
        </w:rPr>
        <w:fldChar w:fldCharType="end"/>
      </w:r>
      <w:r w:rsidR="00F433AE" w:rsidRPr="00B379AE">
        <w:rPr>
          <w:szCs w:val="24"/>
        </w:rPr>
        <w:t>.</w:t>
      </w:r>
    </w:p>
    <w:p w14:paraId="15B18967" w14:textId="77777777" w:rsidR="00F433AE" w:rsidRDefault="00F433AE" w:rsidP="00F433AE">
      <w:pPr>
        <w:contextualSpacing/>
        <w:rPr>
          <w:rFonts w:eastAsia="Times New Roman"/>
          <w:szCs w:val="24"/>
        </w:rPr>
      </w:pPr>
    </w:p>
    <w:p w14:paraId="751C6B7A" w14:textId="2A4239C9" w:rsidR="00AF5968" w:rsidRDefault="001C312A" w:rsidP="001C312A">
      <w:pPr>
        <w:pStyle w:val="Heading1"/>
      </w:pPr>
      <w:r>
        <w:t xml:space="preserve">Conclusion: </w:t>
      </w:r>
      <w:r w:rsidR="0070391F" w:rsidRPr="001C312A">
        <w:t xml:space="preserve">A </w:t>
      </w:r>
      <w:r>
        <w:t xml:space="preserve">Radical </w:t>
      </w:r>
      <w:r w:rsidR="0070391F" w:rsidRPr="001C312A">
        <w:t>Political Aesthetic of Solidarity</w:t>
      </w:r>
    </w:p>
    <w:p w14:paraId="49AF8EEA" w14:textId="77777777" w:rsidR="00A6007A" w:rsidRPr="00A6007A" w:rsidRDefault="00A6007A" w:rsidP="00A6007A"/>
    <w:p w14:paraId="5E5417B6" w14:textId="77777777" w:rsidR="00AF5968" w:rsidRDefault="00AF5968" w:rsidP="00AF5968">
      <w:pPr>
        <w:spacing w:line="480" w:lineRule="auto"/>
        <w:contextualSpacing/>
        <w:rPr>
          <w:rFonts w:eastAsia="Times New Roman"/>
          <w:szCs w:val="24"/>
        </w:rPr>
      </w:pPr>
      <w:r>
        <w:rPr>
          <w:rFonts w:eastAsia="Times New Roman"/>
          <w:szCs w:val="24"/>
        </w:rPr>
        <w:t xml:space="preserve">I now discuss how these memorials give us a chance to explore the various themes of solidarity I have been exploring, and I end with an account of a radical political aesthetic of solidarity. </w:t>
      </w:r>
    </w:p>
    <w:p w14:paraId="5B1E8CA3" w14:textId="77777777" w:rsidR="00AF5968" w:rsidRDefault="00AF5968" w:rsidP="00AF5968">
      <w:pPr>
        <w:spacing w:line="480" w:lineRule="auto"/>
        <w:rPr>
          <w:szCs w:val="24"/>
        </w:rPr>
      </w:pPr>
      <w:r>
        <w:rPr>
          <w:rFonts w:eastAsia="Times New Roman"/>
          <w:szCs w:val="24"/>
        </w:rPr>
        <w:t xml:space="preserve">I have defined solidarity as 1) a set of prosocial attitudes and practices toward others that, by 2) cultivating understanding of others who are different from us, 3) orients us to see others as “with” us in one sense or another. First, solidarity as prosocial attitudes enforced by common </w:t>
      </w:r>
      <w:r>
        <w:rPr>
          <w:rFonts w:eastAsia="Times New Roman"/>
          <w:i/>
          <w:szCs w:val="24"/>
        </w:rPr>
        <w:t>practices</w:t>
      </w:r>
      <w:r>
        <w:rPr>
          <w:rFonts w:eastAsia="Times New Roman"/>
          <w:szCs w:val="24"/>
        </w:rPr>
        <w:t xml:space="preserve"> rather than common </w:t>
      </w:r>
      <w:r>
        <w:rPr>
          <w:rFonts w:eastAsia="Times New Roman"/>
          <w:i/>
          <w:szCs w:val="24"/>
        </w:rPr>
        <w:t>characteristics</w:t>
      </w:r>
      <w:r>
        <w:rPr>
          <w:rFonts w:eastAsia="Times New Roman"/>
          <w:szCs w:val="24"/>
        </w:rPr>
        <w:t xml:space="preserve">. Both memorials are not only static markers but also </w:t>
      </w:r>
      <w:r>
        <w:rPr>
          <w:szCs w:val="24"/>
        </w:rPr>
        <w:t xml:space="preserve">sites for annual memorial ceremonies. These ceremonies are political practices that bring people together to commemorate lives lost to colonial violence. The Myall Creek Massacre Memorial also encourages the active practice of walking through the landscape, perhaps prompting reflection on the relationship between individuals, political societies, and their built </w:t>
      </w:r>
      <w:r>
        <w:rPr>
          <w:szCs w:val="24"/>
        </w:rPr>
        <w:lastRenderedPageBreak/>
        <w:t>and natural landscapes. Likewise, the educational materials inside the newspaper vending machines at “Standing by Tunnerminnerwait and Maulboyheener” might encourage viewers to further educate themselves about the history of colonial violence or Australian penal history. Further, the organizers of both memorials engaged in shared practices of organizing, documenting history, engaging in political negotiations, and coordinating with various stakeholders. Any memorial created by civil society agitation will be a result of intensive political practice with others.</w:t>
      </w:r>
    </w:p>
    <w:p w14:paraId="3E063C28" w14:textId="77777777" w:rsidR="00AF5968" w:rsidRDefault="00AF5968" w:rsidP="00AF5968">
      <w:pPr>
        <w:spacing w:line="480" w:lineRule="auto"/>
        <w:rPr>
          <w:szCs w:val="24"/>
        </w:rPr>
      </w:pPr>
      <w:r>
        <w:rPr>
          <w:szCs w:val="24"/>
        </w:rPr>
        <w:tab/>
        <w:t xml:space="preserve">And this practice is often shared with others not like ourselves. The second theme of solidarity I have emphasized is cultivating understanding of pluralistic others. Both memorials were created by Indigenous and non-Indigenous Australians, from the artists to the committee organizers. Because the work of organizing does not end with the erection of the monuments but rather continues with the annual ceremonies, these stakeholders are engaged in long-term, solidarity building political praxis with others who are politically and culturally diverse. And even for permanent memorials that do not host regular ceremonies, there is still the possibility for generating </w:t>
      </w:r>
      <w:r w:rsidRPr="009806F4">
        <w:rPr>
          <w:szCs w:val="24"/>
        </w:rPr>
        <w:t>discourse and involvement the local community, especially when communities are consulted in their design.</w:t>
      </w:r>
      <w:r>
        <w:rPr>
          <w:szCs w:val="24"/>
        </w:rPr>
        <w:t xml:space="preserve"> </w:t>
      </w:r>
      <w:r w:rsidRPr="00990F39">
        <w:rPr>
          <w:szCs w:val="24"/>
        </w:rPr>
        <w:t xml:space="preserve">Public historians and community organizers have emphasized the importance of memorialization being led by or in consultation with Indigenous stakeholder communities </w:t>
      </w:r>
      <w:r w:rsidRPr="00990F39">
        <w:rPr>
          <w:szCs w:val="24"/>
        </w:rPr>
        <w:fldChar w:fldCharType="begin"/>
      </w:r>
      <w:r w:rsidRPr="00990F39">
        <w:rPr>
          <w:szCs w:val="24"/>
        </w:rPr>
        <w:instrText xml:space="preserve"> ADDIN ZOTERO_ITEM CSL_CITATION {"citationID":"BdxmiQ91","properties":{"formattedCitation":"(Batten and Batten 2008)","plainCitation":"(Batten and Batten 2008)","noteIndex":0},"citationItems":[{"id":1216,"uris":["http://zotero.org/users/3096777/items/FIB2PFCG"],"uri":["http://zotero.org/users/3096777/items/FIB2PFCG"],"itemData":{"id":1216,"type":"article-journal","title":"Memorialising the Past: Is there an Aboriginal Way?","container-title":"Public History Review","page":"92-116","volume":"15","author":[{"family":"Batten","given":"Bronwyn"},{"family":"Batten","given":"Paul"}],"issued":{"date-parts":[["2008"]]}}}],"schema":"https://github.com/citation-style-language/schema/raw/master/csl-citation.json"} </w:instrText>
      </w:r>
      <w:r w:rsidRPr="00990F39">
        <w:rPr>
          <w:szCs w:val="24"/>
        </w:rPr>
        <w:fldChar w:fldCharType="separate"/>
      </w:r>
      <w:r w:rsidRPr="00990F39">
        <w:rPr>
          <w:noProof/>
          <w:szCs w:val="24"/>
        </w:rPr>
        <w:t>(Batten and Batten 2008)</w:t>
      </w:r>
      <w:r w:rsidRPr="00990F39">
        <w:rPr>
          <w:szCs w:val="24"/>
        </w:rPr>
        <w:fldChar w:fldCharType="end"/>
      </w:r>
      <w:r w:rsidRPr="00990F39">
        <w:rPr>
          <w:szCs w:val="24"/>
        </w:rPr>
        <w:t>.</w:t>
      </w:r>
      <w:r>
        <w:rPr>
          <w:szCs w:val="24"/>
        </w:rPr>
        <w:t xml:space="preserve"> </w:t>
      </w:r>
    </w:p>
    <w:p w14:paraId="103E9670" w14:textId="77777777" w:rsidR="00AF5968" w:rsidRDefault="00AF5968" w:rsidP="00AF5968">
      <w:pPr>
        <w:spacing w:line="480" w:lineRule="auto"/>
        <w:rPr>
          <w:szCs w:val="24"/>
        </w:rPr>
      </w:pPr>
      <w:r w:rsidRPr="009806F4">
        <w:rPr>
          <w:szCs w:val="24"/>
        </w:rPr>
        <w:tab/>
        <w:t xml:space="preserve">Further, the Myall Creek Memorial was a conscious effort of pluralism. Its creation and mission, from the committee’s equal representation by Indigenous and non-Indigenous members </w:t>
      </w:r>
      <w:r w:rsidRPr="009806F4">
        <w:rPr>
          <w:szCs w:val="24"/>
        </w:rPr>
        <w:fldChar w:fldCharType="begin"/>
      </w:r>
      <w:r w:rsidRPr="009806F4">
        <w:rPr>
          <w:szCs w:val="24"/>
        </w:rPr>
        <w:instrText xml:space="preserve"> ADDIN ZOTERO_ITEM CSL_CITATION {"citationID":"eas9v6HE","properties":{"formattedCitation":"(Batten and Batten 2008)","plainCitation":"(Batten and Batten 2008)","noteIndex":0},"citationItems":[{"id":1216,"uris":["http://zotero.org/users/3096777/items/FIB2PFCG"],"uri":["http://zotero.org/users/3096777/items/FIB2PFCG"],"itemData":{"id":1216,"type":"article-journal","title":"Memorialising the Past: Is there an Aboriginal Way?","container-title":"Public History Review","page":"92-116","volume":"15","author":[{"family":"Batten","given":"Bronwyn"},{"family":"Batten","given":"Paul"}],"issued":{"date-parts":[["2008"]]}}}],"schema":"https://github.com/citation-style-language/schema/raw/master/csl-citation.json"} </w:instrText>
      </w:r>
      <w:r w:rsidRPr="009806F4">
        <w:rPr>
          <w:szCs w:val="24"/>
        </w:rPr>
        <w:fldChar w:fldCharType="separate"/>
      </w:r>
      <w:r w:rsidRPr="009806F4">
        <w:rPr>
          <w:noProof/>
          <w:szCs w:val="24"/>
        </w:rPr>
        <w:t>(Batten and Batten 2008)</w:t>
      </w:r>
      <w:r w:rsidRPr="009806F4">
        <w:rPr>
          <w:szCs w:val="24"/>
        </w:rPr>
        <w:fldChar w:fldCharType="end"/>
      </w:r>
      <w:r w:rsidRPr="009806F4">
        <w:rPr>
          <w:szCs w:val="24"/>
        </w:rPr>
        <w:t xml:space="preserve"> to its goal to educate all visitors about the Wirrayaraay people, reflect a shared, cross-cultural mission. In contrast to some other memorials, whose lack of markings and </w:t>
      </w:r>
      <w:r w:rsidRPr="009806F4">
        <w:rPr>
          <w:szCs w:val="24"/>
        </w:rPr>
        <w:lastRenderedPageBreak/>
        <w:t>location suggest they are for local Indigenous communities to quietly reflect,</w:t>
      </w:r>
      <w:r w:rsidRPr="009806F4">
        <w:rPr>
          <w:rStyle w:val="FootnoteReference"/>
          <w:szCs w:val="24"/>
        </w:rPr>
        <w:footnoteReference w:id="11"/>
      </w:r>
      <w:r w:rsidRPr="009806F4">
        <w:rPr>
          <w:szCs w:val="24"/>
        </w:rPr>
        <w:t xml:space="preserve"> the Myall Creek Memorial attempts to be “for” both Aboriginal audiences and non-Indigenous audiences alike </w:t>
      </w:r>
      <w:r w:rsidRPr="009806F4">
        <w:rPr>
          <w:szCs w:val="24"/>
        </w:rPr>
        <w:fldChar w:fldCharType="begin"/>
      </w:r>
      <w:r w:rsidRPr="009806F4">
        <w:rPr>
          <w:szCs w:val="24"/>
        </w:rPr>
        <w:instrText xml:space="preserve"> ADDIN ZOTERO_ITEM CSL_CITATION {"citationID":"4EYjH44Q","properties":{"formattedCitation":"(Cordiner 2018)","plainCitation":"(Cordiner 2018)","noteIndex":0},"citationItems":[{"id":1239,"uris":["http://zotero.org/users/3096777/items/MFNJ2PJ9"],"uri":["http://zotero.org/users/3096777/items/MFNJ2PJ9"],"itemData":{"id":1239,"type":"interview","title":"Interview by Author with Graeme Cordiner, Sydney, Australia","medium":"Digital Recording","abstract":"Interview I did in Sydney on Australia trip.","author":[{"family":"Cordiner","given":"Graeme"}],"issued":{"date-parts":[["2018",8,11]]}}}],"schema":"https://github.com/citation-style-language/schema/raw/master/csl-citation.json"} </w:instrText>
      </w:r>
      <w:r w:rsidRPr="009806F4">
        <w:rPr>
          <w:szCs w:val="24"/>
        </w:rPr>
        <w:fldChar w:fldCharType="separate"/>
      </w:r>
      <w:r w:rsidRPr="009806F4">
        <w:rPr>
          <w:noProof/>
          <w:szCs w:val="24"/>
        </w:rPr>
        <w:t>(Cordiner 2018)</w:t>
      </w:r>
      <w:r w:rsidRPr="009806F4">
        <w:rPr>
          <w:szCs w:val="24"/>
        </w:rPr>
        <w:fldChar w:fldCharType="end"/>
      </w:r>
      <w:r w:rsidRPr="009806F4">
        <w:rPr>
          <w:szCs w:val="24"/>
        </w:rPr>
        <w:t xml:space="preserve">. I think that “Standing by” reflects a similar openness to multiple and diverse audience, as it is located on a busy street in an international city full of Indigenous and non-Indigenous Australians, immigrants, and foreign tourists. </w:t>
      </w:r>
    </w:p>
    <w:p w14:paraId="4C1DFA3D" w14:textId="20C54311" w:rsidR="00AF5968" w:rsidRPr="009806F4" w:rsidRDefault="00AF5968" w:rsidP="00AF5968">
      <w:pPr>
        <w:spacing w:line="480" w:lineRule="auto"/>
        <w:rPr>
          <w:i/>
          <w:szCs w:val="24"/>
        </w:rPr>
      </w:pPr>
      <w:r>
        <w:rPr>
          <w:szCs w:val="24"/>
        </w:rPr>
        <w:tab/>
        <w:t xml:space="preserve">The final theme of solidarity I have explored is its ability to enable us to see ourselves as “with” others. I read these memorials as a work of </w:t>
      </w:r>
      <w:r w:rsidR="00A6007A">
        <w:rPr>
          <w:szCs w:val="24"/>
        </w:rPr>
        <w:t>commemoration</w:t>
      </w:r>
      <w:r>
        <w:rPr>
          <w:szCs w:val="24"/>
        </w:rPr>
        <w:t xml:space="preserve"> that corrects the wrong of </w:t>
      </w:r>
      <w:r w:rsidR="00A6007A">
        <w:rPr>
          <w:szCs w:val="24"/>
        </w:rPr>
        <w:t xml:space="preserve">Australia’s </w:t>
      </w:r>
      <w:r>
        <w:rPr>
          <w:szCs w:val="24"/>
        </w:rPr>
        <w:t xml:space="preserve">non-recognition of colonial violence. As such, they may cultivate an attitude of cross-cultural understanding of plural others, enabling me to see myself as sharing political and social practices “with” others. By learning about their violent historical subjugation, non-Indigenous Australians may be able to see Indigenous Australians as sharing a political community </w:t>
      </w:r>
      <w:r w:rsidRPr="009806F4">
        <w:rPr>
          <w:i/>
          <w:szCs w:val="24"/>
        </w:rPr>
        <w:t>with</w:t>
      </w:r>
      <w:r>
        <w:rPr>
          <w:szCs w:val="24"/>
        </w:rPr>
        <w:t xml:space="preserve"> them in a way they did not before. By learning about colonial violence in Australia, an American or a Kenyan might see Australian Indigenous people as having experienced colonialism </w:t>
      </w:r>
      <w:r>
        <w:rPr>
          <w:i/>
          <w:szCs w:val="24"/>
        </w:rPr>
        <w:t>with</w:t>
      </w:r>
      <w:r>
        <w:rPr>
          <w:szCs w:val="24"/>
        </w:rPr>
        <w:t xml:space="preserve"> Indigenous populations of those countries, and as sharing political histories of domination </w:t>
      </w:r>
      <w:r>
        <w:rPr>
          <w:i/>
          <w:szCs w:val="24"/>
        </w:rPr>
        <w:t>with</w:t>
      </w:r>
      <w:r>
        <w:rPr>
          <w:szCs w:val="24"/>
        </w:rPr>
        <w:t xml:space="preserve"> those political communities. </w:t>
      </w:r>
      <w:r w:rsidR="00702376">
        <w:rPr>
          <w:szCs w:val="24"/>
        </w:rPr>
        <w:t xml:space="preserve">Seeing ourselves “with” others may enhance feelings of being brought together or of social distances being bridged. </w:t>
      </w:r>
      <w:r>
        <w:rPr>
          <w:szCs w:val="24"/>
        </w:rPr>
        <w:t xml:space="preserve">I do not want to say this is how every participant in the aesthetic of solidarity will certainly feel, but I want to point out the possibilities for such an aesthetic to open up the political imagination to feelings of solidarity towards others. The hope is that solidarity might cultivate sensibilities that work against the possibility of future </w:t>
      </w:r>
      <w:r>
        <w:rPr>
          <w:szCs w:val="24"/>
        </w:rPr>
        <w:lastRenderedPageBreak/>
        <w:t xml:space="preserve">violence, because if I see myself as sharing common practices with and understanding others who are different from myself in a way that reframes them as existing “with” me, I might be less willing to contribute to or allow a politics of violence and fear that will result in violence being perpetrated against them. </w:t>
      </w:r>
    </w:p>
    <w:p w14:paraId="3515CECD" w14:textId="2BF57180" w:rsidR="00AF5968" w:rsidRPr="009806F4" w:rsidRDefault="00AF5968" w:rsidP="00AF5968">
      <w:pPr>
        <w:pStyle w:val="CommentText"/>
        <w:spacing w:line="480" w:lineRule="auto"/>
        <w:ind w:firstLine="720"/>
      </w:pPr>
      <w:r>
        <w:rPr>
          <w:rFonts w:eastAsiaTheme="minorEastAsia"/>
          <w:lang w:eastAsia="ja-JP"/>
        </w:rPr>
        <w:t xml:space="preserve">I want to propose a radical version of this vision of solidarity: the possibility that we might feel solidarity with those who have oppressed us. This is the possibility that Afro-pessimists think is unlikely and that Christian theologians predict brotherly love will achieve. </w:t>
      </w:r>
      <w:r w:rsidRPr="0057024B">
        <w:t xml:space="preserve">I </w:t>
      </w:r>
      <w:r>
        <w:t>argue</w:t>
      </w:r>
      <w:r w:rsidRPr="0057024B">
        <w:t xml:space="preserve"> that we should be cultivating solidarity towards all people – </w:t>
      </w:r>
      <w:r w:rsidRPr="0057024B">
        <w:rPr>
          <w:i/>
        </w:rPr>
        <w:t xml:space="preserve">including </w:t>
      </w:r>
      <w:r>
        <w:rPr>
          <w:i/>
        </w:rPr>
        <w:t xml:space="preserve">members of dominant </w:t>
      </w:r>
      <w:r w:rsidR="00702376">
        <w:rPr>
          <w:i/>
        </w:rPr>
        <w:t xml:space="preserve">and violence-perpetrating </w:t>
      </w:r>
      <w:r>
        <w:rPr>
          <w:i/>
        </w:rPr>
        <w:t>groups</w:t>
      </w:r>
      <w:r w:rsidRPr="0057024B">
        <w:t xml:space="preserve"> – in order to avoid retaliatory violence and the politics of victimhood</w:t>
      </w:r>
      <w:r>
        <w:t xml:space="preserve">. If solidarity </w:t>
      </w:r>
      <w:r w:rsidRPr="0057024B">
        <w:rPr>
          <w:rFonts w:eastAsiaTheme="minorEastAsia"/>
          <w:lang w:eastAsia="ja-JP"/>
        </w:rPr>
        <w:t>can comprehend the perpetrator as well as the victim of crime and the complicit bystander</w:t>
      </w:r>
      <w:r>
        <w:rPr>
          <w:rFonts w:eastAsiaTheme="minorEastAsia"/>
          <w:lang w:eastAsia="ja-JP"/>
        </w:rPr>
        <w:t xml:space="preserve">, </w:t>
      </w:r>
      <w:r w:rsidR="00702376">
        <w:rPr>
          <w:rFonts w:eastAsiaTheme="minorEastAsia"/>
          <w:lang w:eastAsia="ja-JP"/>
        </w:rPr>
        <w:t>if members of dominant and violently subordinated groups can come to see each other as active practitioners of solidarity who operate “with” each other, it may become more difficult to imagine committing future violence against each other. On the one hand, solidarity might make future violence against historically subordinated peoples less palatable. On the other hand, it might also close off political imaginaries in which subordinate group members return violence with violence. T</w:t>
      </w:r>
      <w:r>
        <w:rPr>
          <w:rFonts w:eastAsiaTheme="minorEastAsia"/>
          <w:lang w:eastAsia="ja-JP"/>
        </w:rPr>
        <w:t>his radical vision might get us closer to a political future free of a cycle of violence and retaliation.</w:t>
      </w:r>
      <w:r w:rsidRPr="0057024B">
        <w:rPr>
          <w:rFonts w:eastAsiaTheme="minorEastAsia"/>
          <w:lang w:eastAsia="ja-JP"/>
        </w:rPr>
        <w:t xml:space="preserve"> </w:t>
      </w:r>
      <w:r>
        <w:rPr>
          <w:rFonts w:eastAsiaTheme="minorEastAsia"/>
          <w:lang w:eastAsia="ja-JP"/>
        </w:rPr>
        <w:t>Solidarity as</w:t>
      </w:r>
      <w:r w:rsidRPr="0057024B">
        <w:t xml:space="preserve"> understanding and engagement do</w:t>
      </w:r>
      <w:r>
        <w:t>es</w:t>
      </w:r>
      <w:r w:rsidRPr="0057024B">
        <w:t xml:space="preserve"> not mean endorsement of the </w:t>
      </w:r>
      <w:r>
        <w:t>wrongdoer or member of the dominant group</w:t>
      </w:r>
      <w:r w:rsidRPr="0057024B">
        <w:t xml:space="preserve">, but they might make it more difficult to inflict violence against </w:t>
      </w:r>
      <w:r>
        <w:t xml:space="preserve">her in the future, helping avoid the </w:t>
      </w:r>
      <w:r>
        <w:rPr>
          <w:i/>
        </w:rPr>
        <w:t>summum malum</w:t>
      </w:r>
      <w:r>
        <w:t xml:space="preserve"> of future mass violence.</w:t>
      </w:r>
    </w:p>
    <w:p w14:paraId="6A1E3E9F" w14:textId="6759C915" w:rsidR="00AF5968" w:rsidRDefault="00AF5968" w:rsidP="00AF5968">
      <w:pPr>
        <w:pStyle w:val="xmsonormal"/>
        <w:shd w:val="clear" w:color="auto" w:fill="FFFFFF"/>
        <w:spacing w:before="0" w:beforeAutospacing="0" w:after="0" w:afterAutospacing="0" w:line="480" w:lineRule="auto"/>
        <w:ind w:firstLine="720"/>
        <w:contextualSpacing/>
      </w:pPr>
      <w:r>
        <w:t xml:space="preserve">An important caveat: a political aesthetic of solidarity, that is, portraying symbols and sensory depictions in the physical environment, is one way that a society can cultivate such a vision of solidarity, but I am not arguing that monuments and memorials alone can or should </w:t>
      </w:r>
      <w:r>
        <w:lastRenderedPageBreak/>
        <w:t>achieve this goal. They should be (and, in Australia, are) part of a larger project of reconciliation that also includes state apologies and documentation of atrocities; education in public schools and civil society about histories of violence and how they connect to contemporary politics; and a healthy culture of debate about history and its significance in the media and public life. The political aesthetic of solidarity should provoke deliberation and debate rather than foreclose it.</w:t>
      </w:r>
    </w:p>
    <w:p w14:paraId="3669CAB6" w14:textId="15E0F748" w:rsidR="00D67620" w:rsidRDefault="001232E6" w:rsidP="00D67620">
      <w:pPr>
        <w:pStyle w:val="xmsonormal"/>
        <w:shd w:val="clear" w:color="auto" w:fill="FFFFFF"/>
        <w:spacing w:before="0" w:beforeAutospacing="0" w:after="0" w:afterAutospacing="0" w:line="480" w:lineRule="auto"/>
        <w:ind w:firstLine="720"/>
        <w:contextualSpacing/>
      </w:pPr>
      <w:r>
        <w:t>Many p</w:t>
      </w:r>
      <w:r w:rsidR="00D67620">
        <w:t xml:space="preserve">ublic events in Australia open with Acknowledgement of Country or Welcome to Country statements. In Acknowledgements of Country, Indigenous or non-Indigenous speakers state that they recognize the Indigenous community who were traditionally custodians of the land where they stand. In Welcomes to Country, members of the Indigenous community who were traditionally custodians of the land where the event take place acknowledge past and present Indigenous custodians and then welcome the newcomers to the land. For example, in 2008, </w:t>
      </w:r>
      <w:r w:rsidR="00D67620" w:rsidRPr="00D67620">
        <w:t>Ngambri-Ngunnawal elder Matilda House Williams deliver</w:t>
      </w:r>
      <w:r w:rsidR="00D67620">
        <w:t>ed</w:t>
      </w:r>
      <w:r w:rsidR="00D67620" w:rsidRPr="00D67620">
        <w:t xml:space="preserve"> the first ever “Welcome to Country” to federal Parliament</w:t>
      </w:r>
      <w:r w:rsidR="00D67620">
        <w:t>, at the occasion</w:t>
      </w:r>
      <w:r w:rsidR="00D67620" w:rsidRPr="00D67620">
        <w:t xml:space="preserve"> of the government’s formal apology to the Stolen Generations.</w:t>
      </w:r>
      <w:r w:rsidR="00D67620">
        <w:t xml:space="preserve"> </w:t>
      </w:r>
      <w:r w:rsidR="0059457C">
        <w:t xml:space="preserve">In her address </w:t>
      </w:r>
      <w:r w:rsidR="0059457C">
        <w:fldChar w:fldCharType="begin"/>
      </w:r>
      <w:r w:rsidR="0059457C">
        <w:instrText xml:space="preserve"> ADDIN ZOTERO_ITEM CSL_CITATION {"citationID":"7aKiIA1S","properties":{"formattedCitation":"(House Williams 2008)","plainCitation":"(House Williams 2008)","noteIndex":0},"citationItems":[{"id":1258,"uris":["http://zotero.org/users/3096777/items/HRBMI738"],"uri":["http://zotero.org/users/3096777/items/HRBMI738"],"itemData":{"id":1258,"type":"speech","title":"Welcome to Country","publisher-place":"Canberra","event-place":"Canberra","abstract":"Ngambri-Ngunnawal elder Matilda House Williams delivers the first ever “Welcome to Country” to federal Parliament, ahead of the government’s formal apology to the Stolen Generations in 2008.","URL":"http://www.shareourpride.org.au/sections/first-australians/","language":"en-US","author":[{"family":"House Williams","given":"Matilda"}],"issued":{"date-parts":[["2008"]]},"accessed":{"date-parts":[["2019",4,1]]}}}],"schema":"https://github.com/citation-style-language/schema/raw/master/csl-citation.json"} </w:instrText>
      </w:r>
      <w:r w:rsidR="0059457C">
        <w:fldChar w:fldCharType="separate"/>
      </w:r>
      <w:r w:rsidR="0059457C">
        <w:t>(House Williams 2008)</w:t>
      </w:r>
      <w:r w:rsidR="0059457C">
        <w:fldChar w:fldCharType="end"/>
      </w:r>
      <w:r w:rsidR="0059457C">
        <w:t>, she said:</w:t>
      </w:r>
    </w:p>
    <w:p w14:paraId="57B727C7" w14:textId="5087F540" w:rsidR="00D67620" w:rsidRPr="00D67620" w:rsidRDefault="00D67620" w:rsidP="0059457C">
      <w:pPr>
        <w:ind w:left="720" w:right="720"/>
        <w:jc w:val="both"/>
        <w:rPr>
          <w:rFonts w:eastAsia="Times New Roman"/>
          <w:color w:val="auto"/>
          <w:szCs w:val="24"/>
        </w:rPr>
      </w:pPr>
      <w:r w:rsidRPr="00D67620">
        <w:rPr>
          <w:rFonts w:eastAsia="Times New Roman"/>
          <w:color w:val="auto"/>
          <w:szCs w:val="24"/>
        </w:rPr>
        <w:t xml:space="preserve">A </w:t>
      </w:r>
      <w:r>
        <w:rPr>
          <w:rFonts w:eastAsia="Times New Roman"/>
          <w:color w:val="auto"/>
          <w:szCs w:val="24"/>
        </w:rPr>
        <w:t>W</w:t>
      </w:r>
      <w:r w:rsidRPr="00D67620">
        <w:rPr>
          <w:rFonts w:eastAsia="Times New Roman"/>
          <w:color w:val="auto"/>
          <w:szCs w:val="24"/>
        </w:rPr>
        <w:t xml:space="preserve">elcome to </w:t>
      </w:r>
      <w:r>
        <w:rPr>
          <w:rFonts w:eastAsia="Times New Roman"/>
          <w:color w:val="auto"/>
          <w:szCs w:val="24"/>
        </w:rPr>
        <w:t>C</w:t>
      </w:r>
      <w:r w:rsidRPr="00D67620">
        <w:rPr>
          <w:rFonts w:eastAsia="Times New Roman"/>
          <w:color w:val="auto"/>
          <w:szCs w:val="24"/>
        </w:rPr>
        <w:t>ountry acknowledges our people and pays respect to our ancestors’ spirits who created the lands. This then allows safe passage to visitors. For thousands of years our peoples have observed this protocol. It is a good and honest and decent and very human act to reach out to make sure every one of us has a place and is welcome</w:t>
      </w:r>
      <w:r>
        <w:rPr>
          <w:rFonts w:eastAsia="Times New Roman"/>
          <w:color w:val="auto"/>
          <w:szCs w:val="24"/>
        </w:rPr>
        <w:t>… P</w:t>
      </w:r>
      <w:r w:rsidRPr="00D67620">
        <w:rPr>
          <w:rFonts w:eastAsia="Times New Roman"/>
          <w:color w:val="auto"/>
          <w:szCs w:val="24"/>
        </w:rPr>
        <w:t xml:space="preserve">rime </w:t>
      </w:r>
      <w:r>
        <w:rPr>
          <w:rFonts w:eastAsia="Times New Roman"/>
          <w:color w:val="auto"/>
          <w:szCs w:val="24"/>
        </w:rPr>
        <w:t>M</w:t>
      </w:r>
      <w:r w:rsidRPr="00D67620">
        <w:rPr>
          <w:rFonts w:eastAsia="Times New Roman"/>
          <w:color w:val="auto"/>
          <w:szCs w:val="24"/>
        </w:rPr>
        <w:t>inister, my grandchildren have handed you a gift of a message stick, a tangible symbol of today’s ceremony. This message stick, a means of communication used by our peoples for thousands of years, tell the story of our coming together</w:t>
      </w:r>
      <w:r w:rsidR="0059457C">
        <w:rPr>
          <w:rFonts w:eastAsia="Times New Roman"/>
          <w:color w:val="auto"/>
          <w:szCs w:val="24"/>
        </w:rPr>
        <w:t>.</w:t>
      </w:r>
    </w:p>
    <w:p w14:paraId="7985519B" w14:textId="2586D4D4" w:rsidR="00D67620" w:rsidRPr="00D67620" w:rsidRDefault="00D67620" w:rsidP="00D67620">
      <w:pPr>
        <w:rPr>
          <w:rFonts w:eastAsia="Times New Roman"/>
          <w:color w:val="auto"/>
          <w:szCs w:val="24"/>
        </w:rPr>
      </w:pPr>
    </w:p>
    <w:p w14:paraId="108ECBD1" w14:textId="36FB1AA8" w:rsidR="00D67620" w:rsidRPr="00AF5968" w:rsidRDefault="0059457C" w:rsidP="0059457C">
      <w:pPr>
        <w:pStyle w:val="xmsonormal"/>
        <w:shd w:val="clear" w:color="auto" w:fill="FFFFFF"/>
        <w:spacing w:before="0" w:beforeAutospacing="0" w:after="0" w:afterAutospacing="0" w:line="480" w:lineRule="auto"/>
        <w:contextualSpacing/>
      </w:pPr>
      <w:r>
        <w:t xml:space="preserve">These practices of acknowledging the historical custody of land by Indigenous peoples may be striking to U.S. readers, as similar acknowledgment of Native American land and history are far from prevalent in our shared environment. But the Welcome to Country practice is an especially striking practice. There, Indigenous people not only state their communities’ primacy but then extend solidarity to their oppressors. Here, a practice of radical solidarity is being offered to the </w:t>
      </w:r>
      <w:r>
        <w:lastRenderedPageBreak/>
        <w:t>other, perhaps enabling a political imaginary that works against future violence by cultivating understanding of others and even orienting us to see them as “with</w:t>
      </w:r>
      <w:bookmarkStart w:id="0" w:name="_GoBack"/>
      <w:bookmarkEnd w:id="0"/>
      <w:r>
        <w:t>” us.</w:t>
      </w:r>
    </w:p>
    <w:p w14:paraId="111A6235" w14:textId="215F5DFA" w:rsidR="0070391F" w:rsidRPr="00AF5968" w:rsidRDefault="00AF5968" w:rsidP="00AF5968">
      <w:pPr>
        <w:pStyle w:val="CommentText"/>
        <w:spacing w:line="480" w:lineRule="auto"/>
        <w:rPr>
          <w:b/>
        </w:rPr>
      </w:pPr>
      <w:r>
        <w:rPr>
          <w:b/>
        </w:rPr>
        <w:t xml:space="preserve"> </w:t>
      </w:r>
    </w:p>
    <w:p w14:paraId="0BF693C7" w14:textId="62A4FCF6" w:rsidR="007732DA" w:rsidRDefault="007732DA" w:rsidP="007732DA">
      <w:pPr>
        <w:pStyle w:val="Heading1"/>
      </w:pPr>
      <w:r>
        <w:t>References</w:t>
      </w:r>
    </w:p>
    <w:p w14:paraId="6E894B98" w14:textId="24260B71" w:rsidR="00AF5968" w:rsidRDefault="00AF5968" w:rsidP="00AF5968"/>
    <w:p w14:paraId="3F22BA81" w14:textId="77777777" w:rsidR="008F2679" w:rsidRPr="008F2679" w:rsidRDefault="00FA3BDB" w:rsidP="008F2679">
      <w:pPr>
        <w:pStyle w:val="Bibliography"/>
        <w:rPr>
          <w:color w:val="auto"/>
        </w:rPr>
      </w:pPr>
      <w:r>
        <w:fldChar w:fldCharType="begin"/>
      </w:r>
      <w:r w:rsidR="008F2679">
        <w:instrText xml:space="preserve"> ADDIN ZOTERO_BIBL {"uncited":[],"omitted":[],"custom":[]} CSL_BIBLIOGRAPHY </w:instrText>
      </w:r>
      <w:r>
        <w:fldChar w:fldCharType="separate"/>
      </w:r>
      <w:r w:rsidR="008F2679" w:rsidRPr="008F2679">
        <w:rPr>
          <w:color w:val="auto"/>
        </w:rPr>
        <w:t>“Aboriginal and Torres Strait Islander Population.” 2002. Australian Bureau of Statistics. January 25, 2002. http://www.abs.gov.au/ausstats/abs@.nsf/94713ad445ff1425ca25682000192af2/bfc28642d31c215cca256b350010b3f4!OpenDocument.</w:t>
      </w:r>
    </w:p>
    <w:p w14:paraId="3259C9EB" w14:textId="77777777" w:rsidR="008F2679" w:rsidRPr="008F2679" w:rsidRDefault="008F2679" w:rsidP="008F2679">
      <w:pPr>
        <w:pStyle w:val="Bibliography"/>
        <w:rPr>
          <w:color w:val="auto"/>
        </w:rPr>
      </w:pPr>
      <w:r w:rsidRPr="008F2679">
        <w:rPr>
          <w:color w:val="auto"/>
        </w:rPr>
        <w:t xml:space="preserve">Adorno, Theodor. 1998. “The Meaning of Working Through the Past.” In </w:t>
      </w:r>
      <w:r w:rsidRPr="008F2679">
        <w:rPr>
          <w:i/>
          <w:iCs/>
          <w:color w:val="auto"/>
        </w:rPr>
        <w:t>Critical Models: Interventions and Catchwords</w:t>
      </w:r>
      <w:r w:rsidRPr="008F2679">
        <w:rPr>
          <w:color w:val="auto"/>
        </w:rPr>
        <w:t>, translated by Henry W. Pickford, 89–103. European Perspectives: A Series in Social Thought and Cultural Criticism. New York: Columbia University Press.</w:t>
      </w:r>
    </w:p>
    <w:p w14:paraId="39A41B28" w14:textId="77777777" w:rsidR="008F2679" w:rsidRPr="008F2679" w:rsidRDefault="008F2679" w:rsidP="008F2679">
      <w:pPr>
        <w:pStyle w:val="Bibliography"/>
        <w:rPr>
          <w:color w:val="auto"/>
        </w:rPr>
      </w:pPr>
      <w:r w:rsidRPr="008F2679">
        <w:rPr>
          <w:color w:val="auto"/>
        </w:rPr>
        <w:t xml:space="preserve">Ahmed, Sara. 2013. </w:t>
      </w:r>
      <w:r w:rsidRPr="008F2679">
        <w:rPr>
          <w:i/>
          <w:iCs/>
          <w:color w:val="auto"/>
        </w:rPr>
        <w:t>The Cultural Politics of Emotion</w:t>
      </w:r>
      <w:r w:rsidRPr="008F2679">
        <w:rPr>
          <w:color w:val="auto"/>
        </w:rPr>
        <w:t>. New York: Routledge.</w:t>
      </w:r>
    </w:p>
    <w:p w14:paraId="67B29EC0" w14:textId="77777777" w:rsidR="008F2679" w:rsidRPr="008F2679" w:rsidRDefault="008F2679" w:rsidP="008F2679">
      <w:pPr>
        <w:pStyle w:val="Bibliography"/>
        <w:rPr>
          <w:color w:val="auto"/>
        </w:rPr>
      </w:pPr>
      <w:r w:rsidRPr="008F2679">
        <w:rPr>
          <w:color w:val="auto"/>
        </w:rPr>
        <w:t xml:space="preserve">Allen, Danielle. 2004. </w:t>
      </w:r>
      <w:r w:rsidRPr="008F2679">
        <w:rPr>
          <w:i/>
          <w:iCs/>
          <w:color w:val="auto"/>
        </w:rPr>
        <w:t>Talking to Strangers: Anxieties of Citizenship Since Brown v. Board of Education</w:t>
      </w:r>
      <w:r w:rsidRPr="008F2679">
        <w:rPr>
          <w:color w:val="auto"/>
        </w:rPr>
        <w:t>. Chicago: The University of Chicago Press.</w:t>
      </w:r>
    </w:p>
    <w:p w14:paraId="4A81280E" w14:textId="77777777" w:rsidR="008F2679" w:rsidRPr="008F2679" w:rsidRDefault="008F2679" w:rsidP="008F2679">
      <w:pPr>
        <w:pStyle w:val="Bibliography"/>
        <w:rPr>
          <w:color w:val="auto"/>
        </w:rPr>
      </w:pPr>
      <w:r w:rsidRPr="008F2679">
        <w:rPr>
          <w:color w:val="auto"/>
        </w:rPr>
        <w:t xml:space="preserve">Anderson, Benedict. 2006. </w:t>
      </w:r>
      <w:r w:rsidRPr="008F2679">
        <w:rPr>
          <w:i/>
          <w:iCs/>
          <w:color w:val="auto"/>
        </w:rPr>
        <w:t>Imagined Communities: Reflections on the Origin and Spread of Nationalism</w:t>
      </w:r>
      <w:r w:rsidRPr="008F2679">
        <w:rPr>
          <w:color w:val="auto"/>
        </w:rPr>
        <w:t>. Revised Edition. London: Verso.</w:t>
      </w:r>
    </w:p>
    <w:p w14:paraId="57EA8809" w14:textId="77777777" w:rsidR="008F2679" w:rsidRPr="008F2679" w:rsidRDefault="008F2679" w:rsidP="008F2679">
      <w:pPr>
        <w:pStyle w:val="Bibliography"/>
        <w:rPr>
          <w:color w:val="auto"/>
        </w:rPr>
      </w:pPr>
      <w:r w:rsidRPr="008F2679">
        <w:rPr>
          <w:color w:val="auto"/>
        </w:rPr>
        <w:t>Andrew, Brook, and Trent Walter. n.d. “Tunnerminnerwait and Maulboyheenner Public Marker.” City of Melbourne. Accessed March 31, 2019. http://www.melbourne.vic.gov.au/arts-and-culture/art-outdoors/public-art-melbourne/Pages/tunnerminnerwait-and-maulboyheenner-public-marker.aspx.</w:t>
      </w:r>
    </w:p>
    <w:p w14:paraId="5B71B123" w14:textId="77777777" w:rsidR="008F2679" w:rsidRPr="008F2679" w:rsidRDefault="008F2679" w:rsidP="008F2679">
      <w:pPr>
        <w:pStyle w:val="Bibliography"/>
        <w:rPr>
          <w:color w:val="auto"/>
        </w:rPr>
      </w:pPr>
      <w:r w:rsidRPr="008F2679">
        <w:rPr>
          <w:color w:val="auto"/>
        </w:rPr>
        <w:t xml:space="preserve">Arendt, Hannah. 1951. </w:t>
      </w:r>
      <w:r w:rsidRPr="008F2679">
        <w:rPr>
          <w:i/>
          <w:iCs/>
          <w:color w:val="auto"/>
        </w:rPr>
        <w:t>The Origins of Totalitarianism</w:t>
      </w:r>
      <w:r w:rsidRPr="008F2679">
        <w:rPr>
          <w:color w:val="auto"/>
        </w:rPr>
        <w:t>. New York: Meridian Books.</w:t>
      </w:r>
    </w:p>
    <w:p w14:paraId="33A56CD3" w14:textId="77777777" w:rsidR="008F2679" w:rsidRPr="008F2679" w:rsidRDefault="008F2679" w:rsidP="008F2679">
      <w:pPr>
        <w:pStyle w:val="Bibliography"/>
        <w:rPr>
          <w:color w:val="auto"/>
        </w:rPr>
      </w:pPr>
      <w:r w:rsidRPr="008F2679">
        <w:rPr>
          <w:color w:val="auto"/>
        </w:rPr>
        <w:t xml:space="preserve">———. 1963a. </w:t>
      </w:r>
      <w:r w:rsidRPr="008F2679">
        <w:rPr>
          <w:i/>
          <w:iCs/>
          <w:color w:val="auto"/>
        </w:rPr>
        <w:t>Eichmann in Jerusalem</w:t>
      </w:r>
      <w:r w:rsidRPr="008F2679">
        <w:rPr>
          <w:color w:val="auto"/>
        </w:rPr>
        <w:t>. New York: Viking Press.</w:t>
      </w:r>
    </w:p>
    <w:p w14:paraId="6C4C9DB6" w14:textId="77777777" w:rsidR="008F2679" w:rsidRPr="008F2679" w:rsidRDefault="008F2679" w:rsidP="008F2679">
      <w:pPr>
        <w:pStyle w:val="Bibliography"/>
        <w:rPr>
          <w:color w:val="auto"/>
        </w:rPr>
      </w:pPr>
      <w:r w:rsidRPr="008F2679">
        <w:rPr>
          <w:color w:val="auto"/>
        </w:rPr>
        <w:t xml:space="preserve">———. 1963b. </w:t>
      </w:r>
      <w:r w:rsidRPr="008F2679">
        <w:rPr>
          <w:i/>
          <w:iCs/>
          <w:color w:val="auto"/>
        </w:rPr>
        <w:t>On Revolution</w:t>
      </w:r>
      <w:r w:rsidRPr="008F2679">
        <w:rPr>
          <w:color w:val="auto"/>
        </w:rPr>
        <w:t>. New York: Penguin Books.</w:t>
      </w:r>
    </w:p>
    <w:p w14:paraId="524B3EC2" w14:textId="77777777" w:rsidR="008F2679" w:rsidRPr="008F2679" w:rsidRDefault="008F2679" w:rsidP="008F2679">
      <w:pPr>
        <w:pStyle w:val="Bibliography"/>
        <w:rPr>
          <w:color w:val="auto"/>
        </w:rPr>
      </w:pPr>
      <w:r w:rsidRPr="008F2679">
        <w:rPr>
          <w:color w:val="auto"/>
        </w:rPr>
        <w:t xml:space="preserve">———. 1966. “Some Questions of Moral Philosophy.” In </w:t>
      </w:r>
      <w:r w:rsidRPr="008F2679">
        <w:rPr>
          <w:i/>
          <w:iCs/>
          <w:color w:val="auto"/>
        </w:rPr>
        <w:t>Responsibility and Judgment</w:t>
      </w:r>
      <w:r w:rsidRPr="008F2679">
        <w:rPr>
          <w:color w:val="auto"/>
        </w:rPr>
        <w:t>, edited by Jerome Kohn, 49–146. New York: Random House.</w:t>
      </w:r>
    </w:p>
    <w:p w14:paraId="2BB38B31" w14:textId="77777777" w:rsidR="008F2679" w:rsidRPr="008F2679" w:rsidRDefault="008F2679" w:rsidP="008F2679">
      <w:pPr>
        <w:pStyle w:val="Bibliography"/>
        <w:rPr>
          <w:color w:val="auto"/>
        </w:rPr>
      </w:pPr>
      <w:r w:rsidRPr="008F2679">
        <w:rPr>
          <w:color w:val="auto"/>
        </w:rPr>
        <w:t xml:space="preserve">———. 1998. </w:t>
      </w:r>
      <w:r w:rsidRPr="008F2679">
        <w:rPr>
          <w:i/>
          <w:iCs/>
          <w:color w:val="auto"/>
        </w:rPr>
        <w:t>The Human Condition</w:t>
      </w:r>
      <w:r w:rsidRPr="008F2679">
        <w:rPr>
          <w:color w:val="auto"/>
        </w:rPr>
        <w:t>. 2nd ed. Chicago: University of Chicago Press.</w:t>
      </w:r>
    </w:p>
    <w:p w14:paraId="21EFB42A" w14:textId="77777777" w:rsidR="008F2679" w:rsidRPr="008F2679" w:rsidRDefault="008F2679" w:rsidP="008F2679">
      <w:pPr>
        <w:pStyle w:val="Bibliography"/>
        <w:rPr>
          <w:color w:val="auto"/>
        </w:rPr>
      </w:pPr>
      <w:r w:rsidRPr="008F2679">
        <w:rPr>
          <w:color w:val="auto"/>
        </w:rPr>
        <w:t xml:space="preserve">———. 2006. </w:t>
      </w:r>
      <w:r w:rsidRPr="008F2679">
        <w:rPr>
          <w:i/>
          <w:iCs/>
          <w:color w:val="auto"/>
        </w:rPr>
        <w:t>Between Past and Future</w:t>
      </w:r>
      <w:r w:rsidRPr="008F2679">
        <w:rPr>
          <w:color w:val="auto"/>
        </w:rPr>
        <w:t>. New York: Penguin Classics.</w:t>
      </w:r>
    </w:p>
    <w:p w14:paraId="03DF6F2D" w14:textId="77777777" w:rsidR="008F2679" w:rsidRPr="008F2679" w:rsidRDefault="008F2679" w:rsidP="008F2679">
      <w:pPr>
        <w:pStyle w:val="Bibliography"/>
        <w:rPr>
          <w:color w:val="auto"/>
        </w:rPr>
      </w:pPr>
      <w:r w:rsidRPr="008F2679">
        <w:rPr>
          <w:color w:val="auto"/>
        </w:rPr>
        <w:t xml:space="preserve">Aristotle. 1998. </w:t>
      </w:r>
      <w:r w:rsidRPr="008F2679">
        <w:rPr>
          <w:i/>
          <w:iCs/>
          <w:color w:val="auto"/>
        </w:rPr>
        <w:t>Politics</w:t>
      </w:r>
      <w:r w:rsidRPr="008F2679">
        <w:rPr>
          <w:color w:val="auto"/>
        </w:rPr>
        <w:t>. Translated by C. D. C. Reeve. Indianapolis: Hackett Publishing Company.</w:t>
      </w:r>
    </w:p>
    <w:p w14:paraId="2DB8C281" w14:textId="77777777" w:rsidR="008F2679" w:rsidRPr="008F2679" w:rsidRDefault="008F2679" w:rsidP="008F2679">
      <w:pPr>
        <w:pStyle w:val="Bibliography"/>
        <w:rPr>
          <w:color w:val="auto"/>
        </w:rPr>
      </w:pPr>
      <w:r w:rsidRPr="008F2679">
        <w:rPr>
          <w:color w:val="auto"/>
        </w:rPr>
        <w:t xml:space="preserve">Barta, Tony. 2008. “Sorry, and Not Sorry, in Australia: How the Apology to the Stolen Generations Buried a History of Genocide.” </w:t>
      </w:r>
      <w:r w:rsidRPr="008F2679">
        <w:rPr>
          <w:i/>
          <w:iCs/>
          <w:color w:val="auto"/>
        </w:rPr>
        <w:t>Journal of Genocide Research</w:t>
      </w:r>
      <w:r w:rsidRPr="008F2679">
        <w:rPr>
          <w:color w:val="auto"/>
        </w:rPr>
        <w:t xml:space="preserve"> 10 (2): 201–14.</w:t>
      </w:r>
    </w:p>
    <w:p w14:paraId="240A8856" w14:textId="77777777" w:rsidR="008F2679" w:rsidRPr="008F2679" w:rsidRDefault="008F2679" w:rsidP="008F2679">
      <w:pPr>
        <w:pStyle w:val="Bibliography"/>
        <w:rPr>
          <w:color w:val="auto"/>
        </w:rPr>
      </w:pPr>
      <w:r w:rsidRPr="008F2679">
        <w:rPr>
          <w:color w:val="auto"/>
        </w:rPr>
        <w:t xml:space="preserve">Barthes, Roland. 1984. “From Work to Text.” In </w:t>
      </w:r>
      <w:r w:rsidRPr="008F2679">
        <w:rPr>
          <w:i/>
          <w:iCs/>
          <w:color w:val="auto"/>
        </w:rPr>
        <w:t>The Rustle of Language</w:t>
      </w:r>
      <w:r w:rsidRPr="008F2679">
        <w:rPr>
          <w:color w:val="auto"/>
        </w:rPr>
        <w:t>, translated by Richard Howard, 56–64. New York: Hill and Wang.</w:t>
      </w:r>
    </w:p>
    <w:p w14:paraId="431D0AEE" w14:textId="77777777" w:rsidR="008F2679" w:rsidRPr="008F2679" w:rsidRDefault="008F2679" w:rsidP="008F2679">
      <w:pPr>
        <w:pStyle w:val="Bibliography"/>
        <w:rPr>
          <w:color w:val="auto"/>
        </w:rPr>
      </w:pPr>
      <w:r w:rsidRPr="008F2679">
        <w:rPr>
          <w:color w:val="auto"/>
        </w:rPr>
        <w:t>Batten, Bronwyn, and Paul Batten. 2008. “</w:t>
      </w:r>
      <w:proofErr w:type="spellStart"/>
      <w:r w:rsidRPr="008F2679">
        <w:rPr>
          <w:color w:val="auto"/>
        </w:rPr>
        <w:t>Memorialising</w:t>
      </w:r>
      <w:proofErr w:type="spellEnd"/>
      <w:r w:rsidRPr="008F2679">
        <w:rPr>
          <w:color w:val="auto"/>
        </w:rPr>
        <w:t xml:space="preserve"> the Past: Is There an Aboriginal Way?” </w:t>
      </w:r>
      <w:r w:rsidRPr="008F2679">
        <w:rPr>
          <w:i/>
          <w:iCs/>
          <w:color w:val="auto"/>
        </w:rPr>
        <w:t>Public History Review</w:t>
      </w:r>
      <w:r w:rsidRPr="008F2679">
        <w:rPr>
          <w:color w:val="auto"/>
        </w:rPr>
        <w:t xml:space="preserve"> 15: 92–116.</w:t>
      </w:r>
    </w:p>
    <w:p w14:paraId="4C39356F" w14:textId="77777777" w:rsidR="008F2679" w:rsidRPr="008F2679" w:rsidRDefault="008F2679" w:rsidP="008F2679">
      <w:pPr>
        <w:pStyle w:val="Bibliography"/>
        <w:rPr>
          <w:color w:val="auto"/>
        </w:rPr>
      </w:pPr>
      <w:r w:rsidRPr="008F2679">
        <w:rPr>
          <w:color w:val="auto"/>
        </w:rPr>
        <w:t xml:space="preserve">Bickford, Susan. 2000. “Constructing Inequality.” </w:t>
      </w:r>
      <w:r w:rsidRPr="008F2679">
        <w:rPr>
          <w:i/>
          <w:iCs/>
          <w:color w:val="auto"/>
        </w:rPr>
        <w:t>Political Theory</w:t>
      </w:r>
      <w:r w:rsidRPr="008F2679">
        <w:rPr>
          <w:color w:val="auto"/>
        </w:rPr>
        <w:t xml:space="preserve"> 28: 355–76.</w:t>
      </w:r>
    </w:p>
    <w:p w14:paraId="49C3CF85" w14:textId="77777777" w:rsidR="008F2679" w:rsidRPr="008F2679" w:rsidRDefault="008F2679" w:rsidP="008F2679">
      <w:pPr>
        <w:pStyle w:val="Bibliography"/>
        <w:rPr>
          <w:color w:val="auto"/>
        </w:rPr>
      </w:pPr>
      <w:r w:rsidRPr="008F2679">
        <w:rPr>
          <w:color w:val="auto"/>
        </w:rPr>
        <w:t xml:space="preserve">Bottoms, Timothy. 2013. </w:t>
      </w:r>
      <w:r w:rsidRPr="008F2679">
        <w:rPr>
          <w:i/>
          <w:iCs/>
          <w:color w:val="auto"/>
        </w:rPr>
        <w:t>Conspiracy of Silence: Queensland’s Frontier Killing Times</w:t>
      </w:r>
      <w:r w:rsidRPr="008F2679">
        <w:rPr>
          <w:color w:val="auto"/>
        </w:rPr>
        <w:t>. Sydney: Allen &amp; Unwin.</w:t>
      </w:r>
    </w:p>
    <w:p w14:paraId="77FD063E" w14:textId="77777777" w:rsidR="008F2679" w:rsidRPr="008F2679" w:rsidRDefault="008F2679" w:rsidP="008F2679">
      <w:pPr>
        <w:pStyle w:val="Bibliography"/>
        <w:rPr>
          <w:color w:val="auto"/>
        </w:rPr>
      </w:pPr>
      <w:r w:rsidRPr="008F2679">
        <w:rPr>
          <w:color w:val="auto"/>
        </w:rPr>
        <w:lastRenderedPageBreak/>
        <w:t xml:space="preserve">Boyce, James. 2013. </w:t>
      </w:r>
      <w:r w:rsidRPr="008F2679">
        <w:rPr>
          <w:i/>
          <w:iCs/>
          <w:color w:val="auto"/>
        </w:rPr>
        <w:t>1835: The Founding of Melbourne &amp; the Conquest of Australia</w:t>
      </w:r>
      <w:r w:rsidRPr="008F2679">
        <w:rPr>
          <w:color w:val="auto"/>
        </w:rPr>
        <w:t>. Melbourne: Schwartz Publishing Pty. Ltd. http://ebookcentral.proquest.com/lib/unc/detail.action?docID=1887386.</w:t>
      </w:r>
    </w:p>
    <w:p w14:paraId="40E56C10" w14:textId="77777777" w:rsidR="008F2679" w:rsidRPr="008F2679" w:rsidRDefault="008F2679" w:rsidP="008F2679">
      <w:pPr>
        <w:pStyle w:val="Bibliography"/>
        <w:rPr>
          <w:color w:val="auto"/>
        </w:rPr>
      </w:pPr>
      <w:r w:rsidRPr="008F2679">
        <w:rPr>
          <w:color w:val="auto"/>
        </w:rPr>
        <w:t>“Bringing Them Home: Report of the National Inquiry into the Separation of Aboriginal and Torres Strait Islander Children from Their Families.” 1997. Sydney: Human Rights and Equal Opportunity Commission. https://www.humanrights.gov.au/sites/default/files/content/pdf/social_justice/bringing_them_home_report.pdf.</w:t>
      </w:r>
    </w:p>
    <w:p w14:paraId="3C6F7F40" w14:textId="77777777" w:rsidR="008F2679" w:rsidRPr="008F2679" w:rsidRDefault="008F2679" w:rsidP="008F2679">
      <w:pPr>
        <w:pStyle w:val="Bibliography"/>
        <w:rPr>
          <w:color w:val="auto"/>
        </w:rPr>
      </w:pPr>
      <w:r w:rsidRPr="008F2679">
        <w:rPr>
          <w:color w:val="auto"/>
        </w:rPr>
        <w:t xml:space="preserve">Britt, Brian. 2000. “Apology for the Text, or Wigs and Veils.” </w:t>
      </w:r>
      <w:r w:rsidRPr="008F2679">
        <w:rPr>
          <w:i/>
          <w:iCs/>
          <w:color w:val="auto"/>
        </w:rPr>
        <w:t>Literature &amp; Theology</w:t>
      </w:r>
      <w:r w:rsidRPr="008F2679">
        <w:rPr>
          <w:color w:val="auto"/>
        </w:rPr>
        <w:t xml:space="preserve"> 14 (4): 412–29.</w:t>
      </w:r>
    </w:p>
    <w:p w14:paraId="1C718122" w14:textId="77777777" w:rsidR="008F2679" w:rsidRPr="008F2679" w:rsidRDefault="008F2679" w:rsidP="008F2679">
      <w:pPr>
        <w:pStyle w:val="Bibliography"/>
        <w:rPr>
          <w:color w:val="auto"/>
        </w:rPr>
      </w:pPr>
      <w:r w:rsidRPr="008F2679">
        <w:rPr>
          <w:color w:val="auto"/>
        </w:rPr>
        <w:t xml:space="preserve">Buckley-Zistel, Susanne. 2006. “Remembering to Forget: Chosen Amnesia as a Strategy for Local Coexistence in Post-Genocide Rwanda.” </w:t>
      </w:r>
      <w:r w:rsidRPr="008F2679">
        <w:rPr>
          <w:i/>
          <w:iCs/>
          <w:color w:val="auto"/>
        </w:rPr>
        <w:t>Africa</w:t>
      </w:r>
      <w:r w:rsidRPr="008F2679">
        <w:rPr>
          <w:color w:val="auto"/>
        </w:rPr>
        <w:t xml:space="preserve"> 76 (2): 131–50.</w:t>
      </w:r>
    </w:p>
    <w:p w14:paraId="4973C8BF" w14:textId="77777777" w:rsidR="008F2679" w:rsidRPr="008F2679" w:rsidRDefault="008F2679" w:rsidP="008F2679">
      <w:pPr>
        <w:pStyle w:val="Bibliography"/>
        <w:rPr>
          <w:color w:val="auto"/>
        </w:rPr>
      </w:pPr>
      <w:r w:rsidRPr="008F2679">
        <w:rPr>
          <w:color w:val="auto"/>
        </w:rPr>
        <w:t xml:space="preserve">Chakravarti, Sonali. 2014. </w:t>
      </w:r>
      <w:r w:rsidRPr="008F2679">
        <w:rPr>
          <w:i/>
          <w:iCs/>
          <w:color w:val="auto"/>
        </w:rPr>
        <w:t>Sing the Rage: Listening to Anger After Mass Violence</w:t>
      </w:r>
      <w:r w:rsidRPr="008F2679">
        <w:rPr>
          <w:color w:val="auto"/>
        </w:rPr>
        <w:t>. Chicago: University of Chicago Press.</w:t>
      </w:r>
    </w:p>
    <w:p w14:paraId="79E92797" w14:textId="77777777" w:rsidR="008F2679" w:rsidRPr="008F2679" w:rsidRDefault="008F2679" w:rsidP="008F2679">
      <w:pPr>
        <w:pStyle w:val="Bibliography"/>
        <w:rPr>
          <w:color w:val="auto"/>
        </w:rPr>
      </w:pPr>
      <w:r w:rsidRPr="008F2679">
        <w:rPr>
          <w:color w:val="auto"/>
        </w:rPr>
        <w:t>Cordiner, Graeme. 2018. Interview by Author with Graeme Cordiner, Sydney, AustraliaDigital Recording.</w:t>
      </w:r>
    </w:p>
    <w:p w14:paraId="00A0D4C1" w14:textId="77777777" w:rsidR="008F2679" w:rsidRPr="008F2679" w:rsidRDefault="008F2679" w:rsidP="008F2679">
      <w:pPr>
        <w:pStyle w:val="Bibliography"/>
        <w:rPr>
          <w:color w:val="auto"/>
        </w:rPr>
      </w:pPr>
      <w:r w:rsidRPr="008F2679">
        <w:rPr>
          <w:color w:val="auto"/>
        </w:rPr>
        <w:t xml:space="preserve">Delgado, Richard, and Jean Stefancic. 2004. </w:t>
      </w:r>
      <w:r w:rsidRPr="008F2679">
        <w:rPr>
          <w:i/>
          <w:iCs/>
          <w:color w:val="auto"/>
        </w:rPr>
        <w:t>Understanding Words That Wound</w:t>
      </w:r>
      <w:r w:rsidRPr="008F2679">
        <w:rPr>
          <w:color w:val="auto"/>
        </w:rPr>
        <w:t>. Boulder, CO: Westview Press.</w:t>
      </w:r>
    </w:p>
    <w:p w14:paraId="350E9E32" w14:textId="77777777" w:rsidR="008F2679" w:rsidRPr="008F2679" w:rsidRDefault="008F2679" w:rsidP="008F2679">
      <w:pPr>
        <w:pStyle w:val="Bibliography"/>
        <w:rPr>
          <w:color w:val="auto"/>
        </w:rPr>
      </w:pPr>
      <w:r w:rsidRPr="008F2679">
        <w:rPr>
          <w:color w:val="auto"/>
        </w:rPr>
        <w:t xml:space="preserve">Dwyer, Philip, and Lyndall Ryan. 2016. “Reflections on Genocide and Settler-Colonial Violence.” </w:t>
      </w:r>
      <w:r w:rsidRPr="008F2679">
        <w:rPr>
          <w:i/>
          <w:iCs/>
          <w:color w:val="auto"/>
        </w:rPr>
        <w:t>History Australia</w:t>
      </w:r>
      <w:r w:rsidRPr="008F2679">
        <w:rPr>
          <w:color w:val="auto"/>
        </w:rPr>
        <w:t xml:space="preserve"> 13 (3): 335–50. https://doi.org/10.1080/14490854.2016.1202336.</w:t>
      </w:r>
    </w:p>
    <w:p w14:paraId="0CD7B2D8" w14:textId="77777777" w:rsidR="008F2679" w:rsidRPr="008F2679" w:rsidRDefault="008F2679" w:rsidP="008F2679">
      <w:pPr>
        <w:pStyle w:val="Bibliography"/>
        <w:rPr>
          <w:color w:val="auto"/>
        </w:rPr>
      </w:pPr>
      <w:r w:rsidRPr="008F2679">
        <w:rPr>
          <w:color w:val="auto"/>
        </w:rPr>
        <w:t xml:space="preserve">Elder, Bruce. 2003. </w:t>
      </w:r>
      <w:r w:rsidRPr="008F2679">
        <w:rPr>
          <w:i/>
          <w:iCs/>
          <w:color w:val="auto"/>
        </w:rPr>
        <w:t>Blood on the Wattle: Massacres and Maltreatment of Aboriginal Australians Since 1788</w:t>
      </w:r>
      <w:r w:rsidRPr="008F2679">
        <w:rPr>
          <w:color w:val="auto"/>
        </w:rPr>
        <w:t>. New Holland.</w:t>
      </w:r>
    </w:p>
    <w:p w14:paraId="49F4BCCE" w14:textId="77777777" w:rsidR="008F2679" w:rsidRPr="008F2679" w:rsidRDefault="008F2679" w:rsidP="008F2679">
      <w:pPr>
        <w:pStyle w:val="Bibliography"/>
        <w:rPr>
          <w:color w:val="auto"/>
        </w:rPr>
      </w:pPr>
      <w:r w:rsidRPr="008F2679">
        <w:rPr>
          <w:color w:val="auto"/>
        </w:rPr>
        <w:t xml:space="preserve">Ferguson, Michaele L. 2012. </w:t>
      </w:r>
      <w:r w:rsidRPr="008F2679">
        <w:rPr>
          <w:i/>
          <w:iCs/>
          <w:color w:val="auto"/>
        </w:rPr>
        <w:t>Sharing Democracy</w:t>
      </w:r>
      <w:r w:rsidRPr="008F2679">
        <w:rPr>
          <w:color w:val="auto"/>
        </w:rPr>
        <w:t>. Oxford: Oxford University Press.</w:t>
      </w:r>
    </w:p>
    <w:p w14:paraId="4CFC1319" w14:textId="77777777" w:rsidR="008F2679" w:rsidRPr="008F2679" w:rsidRDefault="008F2679" w:rsidP="008F2679">
      <w:pPr>
        <w:pStyle w:val="Bibliography"/>
        <w:rPr>
          <w:color w:val="auto"/>
        </w:rPr>
      </w:pPr>
      <w:r w:rsidRPr="008F2679">
        <w:rPr>
          <w:color w:val="auto"/>
        </w:rPr>
        <w:t xml:space="preserve">Forestal, Jennifer. 2017. “The Architecture of Political Spaces: Trolls, Digital Media, and Deweyan Democracy.” </w:t>
      </w:r>
      <w:r w:rsidRPr="008F2679">
        <w:rPr>
          <w:i/>
          <w:iCs/>
          <w:color w:val="auto"/>
        </w:rPr>
        <w:t>American Political Science Review</w:t>
      </w:r>
      <w:r w:rsidRPr="008F2679">
        <w:rPr>
          <w:color w:val="auto"/>
        </w:rPr>
        <w:t xml:space="preserve"> 111: 149–61.</w:t>
      </w:r>
    </w:p>
    <w:p w14:paraId="7D758995" w14:textId="77777777" w:rsidR="008F2679" w:rsidRPr="008F2679" w:rsidRDefault="008F2679" w:rsidP="008F2679">
      <w:pPr>
        <w:pStyle w:val="Bibliography"/>
        <w:rPr>
          <w:color w:val="auto"/>
        </w:rPr>
      </w:pPr>
      <w:r w:rsidRPr="008F2679">
        <w:rPr>
          <w:color w:val="auto"/>
        </w:rPr>
        <w:t xml:space="preserve">Goodall, Heather. 2001. “Aboriginal Land Rights.” In </w:t>
      </w:r>
      <w:r w:rsidRPr="008F2679">
        <w:rPr>
          <w:i/>
          <w:iCs/>
          <w:color w:val="auto"/>
        </w:rPr>
        <w:t>The Oxford Companion to Australian History</w:t>
      </w:r>
      <w:r w:rsidRPr="008F2679">
        <w:rPr>
          <w:color w:val="auto"/>
        </w:rPr>
        <w:t>. Oxford: Oxford University Press. http://www.oxfordreference.com/view/10.1093/acref/9780195515039.001.0001/acref-9780195515039-e-6.</w:t>
      </w:r>
    </w:p>
    <w:p w14:paraId="212C21BA" w14:textId="77777777" w:rsidR="008F2679" w:rsidRPr="008F2679" w:rsidRDefault="008F2679" w:rsidP="008F2679">
      <w:pPr>
        <w:pStyle w:val="Bibliography"/>
        <w:rPr>
          <w:color w:val="auto"/>
        </w:rPr>
      </w:pPr>
      <w:r w:rsidRPr="008F2679">
        <w:rPr>
          <w:color w:val="auto"/>
        </w:rPr>
        <w:t xml:space="preserve">Grabow, Stephen, and Allan Heskin. 1973. “Foundations for a Radical Concept of Planning.” </w:t>
      </w:r>
      <w:r w:rsidRPr="008F2679">
        <w:rPr>
          <w:i/>
          <w:iCs/>
          <w:color w:val="auto"/>
        </w:rPr>
        <w:t>Journal of the American Institute of Planners</w:t>
      </w:r>
      <w:r w:rsidRPr="008F2679">
        <w:rPr>
          <w:color w:val="auto"/>
        </w:rPr>
        <w:t xml:space="preserve"> 39 (2): 106–14. https://doi.org/10.1080/01944367308977664.</w:t>
      </w:r>
    </w:p>
    <w:p w14:paraId="35169524" w14:textId="77777777" w:rsidR="008F2679" w:rsidRPr="008F2679" w:rsidRDefault="008F2679" w:rsidP="008F2679">
      <w:pPr>
        <w:pStyle w:val="Bibliography"/>
        <w:rPr>
          <w:color w:val="auto"/>
        </w:rPr>
      </w:pPr>
      <w:r w:rsidRPr="008F2679">
        <w:rPr>
          <w:color w:val="auto"/>
        </w:rPr>
        <w:t xml:space="preserve">Grosz, Elizabeth. 2001. </w:t>
      </w:r>
      <w:r w:rsidRPr="008F2679">
        <w:rPr>
          <w:i/>
          <w:iCs/>
          <w:color w:val="auto"/>
        </w:rPr>
        <w:t>Architecture from the Outside: Essays on Virtual and Real Space</w:t>
      </w:r>
      <w:r w:rsidRPr="008F2679">
        <w:rPr>
          <w:color w:val="auto"/>
        </w:rPr>
        <w:t>. Cambridge, MA: MIT Press.</w:t>
      </w:r>
    </w:p>
    <w:p w14:paraId="3E64653D" w14:textId="77777777" w:rsidR="008F2679" w:rsidRPr="008F2679" w:rsidRDefault="008F2679" w:rsidP="008F2679">
      <w:pPr>
        <w:pStyle w:val="Bibliography"/>
        <w:rPr>
          <w:color w:val="auto"/>
        </w:rPr>
      </w:pPr>
      <w:r w:rsidRPr="008F2679">
        <w:rPr>
          <w:color w:val="auto"/>
        </w:rPr>
        <w:t xml:space="preserve">Guyer, Sara. 2009. “Rwanda’s Bones.” </w:t>
      </w:r>
      <w:r w:rsidRPr="008F2679">
        <w:rPr>
          <w:i/>
          <w:iCs/>
          <w:color w:val="auto"/>
        </w:rPr>
        <w:t>Boundary 2</w:t>
      </w:r>
      <w:r w:rsidRPr="008F2679">
        <w:rPr>
          <w:color w:val="auto"/>
        </w:rPr>
        <w:t xml:space="preserve"> 36 (2): 155–75. https://doi.org/10.1215/01903659-2009-009.</w:t>
      </w:r>
    </w:p>
    <w:p w14:paraId="2C8CA2DD" w14:textId="77777777" w:rsidR="008F2679" w:rsidRPr="008F2679" w:rsidRDefault="008F2679" w:rsidP="008F2679">
      <w:pPr>
        <w:pStyle w:val="Bibliography"/>
        <w:rPr>
          <w:color w:val="auto"/>
        </w:rPr>
      </w:pPr>
      <w:r w:rsidRPr="008F2679">
        <w:rPr>
          <w:color w:val="auto"/>
        </w:rPr>
        <w:t xml:space="preserve">Hannah Arendt. 1963. “Eichmann in Jerusalem - An Exchange of Letters between Gershom Scholem and Hannah Arendt.” </w:t>
      </w:r>
      <w:r w:rsidRPr="008F2679">
        <w:rPr>
          <w:i/>
          <w:iCs/>
          <w:color w:val="auto"/>
        </w:rPr>
        <w:t>Encounter</w:t>
      </w:r>
      <w:r w:rsidRPr="008F2679">
        <w:rPr>
          <w:color w:val="auto"/>
        </w:rPr>
        <w:t>, July 24, 1963.</w:t>
      </w:r>
    </w:p>
    <w:p w14:paraId="2A50B9A0" w14:textId="77777777" w:rsidR="008F2679" w:rsidRPr="008F2679" w:rsidRDefault="008F2679" w:rsidP="008F2679">
      <w:pPr>
        <w:pStyle w:val="Bibliography"/>
        <w:rPr>
          <w:color w:val="auto"/>
        </w:rPr>
      </w:pPr>
      <w:r w:rsidRPr="008F2679">
        <w:rPr>
          <w:color w:val="auto"/>
        </w:rPr>
        <w:t xml:space="preserve">Harvey, David. 2010. </w:t>
      </w:r>
      <w:r w:rsidRPr="008F2679">
        <w:rPr>
          <w:i/>
          <w:iCs/>
          <w:color w:val="auto"/>
        </w:rPr>
        <w:t>Social Justice and the City</w:t>
      </w:r>
      <w:r w:rsidRPr="008F2679">
        <w:rPr>
          <w:color w:val="auto"/>
        </w:rPr>
        <w:t>. Revised Edition. Geographies of Justice and Social Transformation Series 1. Athens, GA: University of Georgia Press.</w:t>
      </w:r>
    </w:p>
    <w:p w14:paraId="75EDF195" w14:textId="77777777" w:rsidR="008F2679" w:rsidRPr="008F2679" w:rsidRDefault="008F2679" w:rsidP="008F2679">
      <w:pPr>
        <w:pStyle w:val="Bibliography"/>
        <w:rPr>
          <w:color w:val="auto"/>
        </w:rPr>
      </w:pPr>
      <w:r w:rsidRPr="008F2679">
        <w:rPr>
          <w:color w:val="auto"/>
        </w:rPr>
        <w:t xml:space="preserve">Hayden, Dolores. 1994. “The Power of Place: Claiming Urban Landscapes as People’s History.” </w:t>
      </w:r>
      <w:r w:rsidRPr="008F2679">
        <w:rPr>
          <w:i/>
          <w:iCs/>
          <w:color w:val="auto"/>
        </w:rPr>
        <w:t>Journal of Urban History</w:t>
      </w:r>
      <w:r w:rsidRPr="008F2679">
        <w:rPr>
          <w:color w:val="auto"/>
        </w:rPr>
        <w:t xml:space="preserve"> 20 (4): 466–85.</w:t>
      </w:r>
    </w:p>
    <w:p w14:paraId="4459E5C1" w14:textId="77777777" w:rsidR="008F2679" w:rsidRPr="008F2679" w:rsidRDefault="008F2679" w:rsidP="008F2679">
      <w:pPr>
        <w:pStyle w:val="Bibliography"/>
        <w:rPr>
          <w:color w:val="auto"/>
        </w:rPr>
      </w:pPr>
      <w:r w:rsidRPr="008F2679">
        <w:rPr>
          <w:color w:val="auto"/>
        </w:rPr>
        <w:t xml:space="preserve">Hooker, Juliet. 2009. </w:t>
      </w:r>
      <w:r w:rsidRPr="008F2679">
        <w:rPr>
          <w:i/>
          <w:iCs/>
          <w:color w:val="auto"/>
        </w:rPr>
        <w:t>Race and the Politics of Solidarity</w:t>
      </w:r>
      <w:r w:rsidRPr="008F2679">
        <w:rPr>
          <w:color w:val="auto"/>
        </w:rPr>
        <w:t>. Transgressing Boundaries. Oxford: Oxford University Press.</w:t>
      </w:r>
    </w:p>
    <w:p w14:paraId="47CFE412" w14:textId="77777777" w:rsidR="008F2679" w:rsidRPr="008F2679" w:rsidRDefault="008F2679" w:rsidP="008F2679">
      <w:pPr>
        <w:pStyle w:val="Bibliography"/>
        <w:rPr>
          <w:color w:val="auto"/>
        </w:rPr>
      </w:pPr>
      <w:r w:rsidRPr="008F2679">
        <w:rPr>
          <w:color w:val="auto"/>
        </w:rPr>
        <w:lastRenderedPageBreak/>
        <w:t>House Williams, Matilda. 2008. “Welcome to Country.” Canberra. http://www.shareourpride.org.au/sections/first-australians/.</w:t>
      </w:r>
    </w:p>
    <w:p w14:paraId="0D6D60E8" w14:textId="77777777" w:rsidR="008F2679" w:rsidRPr="008F2679" w:rsidRDefault="008F2679" w:rsidP="008F2679">
      <w:pPr>
        <w:pStyle w:val="Bibliography"/>
        <w:rPr>
          <w:color w:val="auto"/>
        </w:rPr>
      </w:pPr>
      <w:r w:rsidRPr="008F2679">
        <w:rPr>
          <w:color w:val="auto"/>
        </w:rPr>
        <w:t xml:space="preserve">Howes, Dustin Ells. 2009. </w:t>
      </w:r>
      <w:r w:rsidRPr="008F2679">
        <w:rPr>
          <w:i/>
          <w:iCs/>
          <w:color w:val="auto"/>
        </w:rPr>
        <w:t>Toward a Credible Pacifism: Violence and the Possibilities of Politics</w:t>
      </w:r>
      <w:r w:rsidRPr="008F2679">
        <w:rPr>
          <w:color w:val="auto"/>
        </w:rPr>
        <w:t>. Albany, NY: State University of New York Press.</w:t>
      </w:r>
    </w:p>
    <w:p w14:paraId="382B5A01" w14:textId="77777777" w:rsidR="008F2679" w:rsidRPr="008F2679" w:rsidRDefault="008F2679" w:rsidP="008F2679">
      <w:pPr>
        <w:pStyle w:val="Bibliography"/>
        <w:rPr>
          <w:color w:val="auto"/>
        </w:rPr>
      </w:pPr>
      <w:r w:rsidRPr="008F2679">
        <w:rPr>
          <w:color w:val="auto"/>
        </w:rPr>
        <w:t xml:space="preserve">Irving, Helen. 2001. “Citizenship.” In </w:t>
      </w:r>
      <w:r w:rsidRPr="008F2679">
        <w:rPr>
          <w:i/>
          <w:iCs/>
          <w:color w:val="auto"/>
        </w:rPr>
        <w:t>The Oxford Companion to Australian History</w:t>
      </w:r>
      <w:r w:rsidRPr="008F2679">
        <w:rPr>
          <w:color w:val="auto"/>
        </w:rPr>
        <w:t>. Oxford: Oxford University Press. http://www.oxfordreference.com/view/10.1093/acref/9780195515039.001.0001/acref-9780195515039-e-317.</w:t>
      </w:r>
    </w:p>
    <w:p w14:paraId="7228BB44" w14:textId="77777777" w:rsidR="008F2679" w:rsidRPr="008F2679" w:rsidRDefault="008F2679" w:rsidP="008F2679">
      <w:pPr>
        <w:pStyle w:val="Bibliography"/>
        <w:rPr>
          <w:color w:val="auto"/>
        </w:rPr>
      </w:pPr>
      <w:r w:rsidRPr="008F2679">
        <w:rPr>
          <w:color w:val="auto"/>
        </w:rPr>
        <w:t xml:space="preserve">Jacobs, Jane. 1992. </w:t>
      </w:r>
      <w:r w:rsidRPr="008F2679">
        <w:rPr>
          <w:i/>
          <w:iCs/>
          <w:color w:val="auto"/>
        </w:rPr>
        <w:t>The Death and Life of Great American Cities</w:t>
      </w:r>
      <w:r w:rsidRPr="008F2679">
        <w:rPr>
          <w:color w:val="auto"/>
        </w:rPr>
        <w:t>. New York: Vintage Books.</w:t>
      </w:r>
    </w:p>
    <w:p w14:paraId="1FA516EB" w14:textId="77777777" w:rsidR="008F2679" w:rsidRPr="008F2679" w:rsidRDefault="008F2679" w:rsidP="008F2679">
      <w:pPr>
        <w:pStyle w:val="Bibliography"/>
        <w:rPr>
          <w:color w:val="auto"/>
        </w:rPr>
      </w:pPr>
      <w:r w:rsidRPr="008F2679">
        <w:rPr>
          <w:color w:val="auto"/>
        </w:rPr>
        <w:t>Jones, Ben. 2015. “The Confederate Flag Is a Matter of Pride and Heritage, Not Hatred.” The New York Times. December 22, 2015. https://perma.cc/2NC8-LDNA.</w:t>
      </w:r>
    </w:p>
    <w:p w14:paraId="1B6CE88D" w14:textId="77777777" w:rsidR="008F2679" w:rsidRPr="008F2679" w:rsidRDefault="008F2679" w:rsidP="008F2679">
      <w:pPr>
        <w:pStyle w:val="Bibliography"/>
        <w:rPr>
          <w:color w:val="auto"/>
        </w:rPr>
      </w:pPr>
      <w:r w:rsidRPr="008F2679">
        <w:rPr>
          <w:color w:val="auto"/>
        </w:rPr>
        <w:t xml:space="preserve">Keneally, Thomas. 2016. </w:t>
      </w:r>
      <w:r w:rsidRPr="008F2679">
        <w:rPr>
          <w:i/>
          <w:iCs/>
          <w:color w:val="auto"/>
        </w:rPr>
        <w:t>Australians: A Short History</w:t>
      </w:r>
      <w:r w:rsidRPr="008F2679">
        <w:rPr>
          <w:color w:val="auto"/>
        </w:rPr>
        <w:t>. Sydney: Allen &amp; Unwin. http://ebookcentral.proquest.com/lib/unc/detail.action?docID=4750529.</w:t>
      </w:r>
    </w:p>
    <w:p w14:paraId="3C221F06" w14:textId="77777777" w:rsidR="008F2679" w:rsidRPr="008F2679" w:rsidRDefault="008F2679" w:rsidP="008F2679">
      <w:pPr>
        <w:pStyle w:val="Bibliography"/>
        <w:rPr>
          <w:color w:val="auto"/>
        </w:rPr>
      </w:pPr>
      <w:r w:rsidRPr="008F2679">
        <w:rPr>
          <w:color w:val="auto"/>
        </w:rPr>
        <w:t xml:space="preserve">Krause, Sharon. 2008. </w:t>
      </w:r>
      <w:r w:rsidRPr="008F2679">
        <w:rPr>
          <w:i/>
          <w:iCs/>
          <w:color w:val="auto"/>
        </w:rPr>
        <w:t>Civil Passions: Moral Sentiment and Democratic Deliberation</w:t>
      </w:r>
      <w:r w:rsidRPr="008F2679">
        <w:rPr>
          <w:color w:val="auto"/>
        </w:rPr>
        <w:t>. Princeton, NJ: Princeton University Press.</w:t>
      </w:r>
    </w:p>
    <w:p w14:paraId="040CECB2" w14:textId="77777777" w:rsidR="008F2679" w:rsidRPr="008F2679" w:rsidRDefault="008F2679" w:rsidP="008F2679">
      <w:pPr>
        <w:pStyle w:val="Bibliography"/>
        <w:rPr>
          <w:color w:val="auto"/>
        </w:rPr>
      </w:pPr>
      <w:r w:rsidRPr="008F2679">
        <w:rPr>
          <w:color w:val="auto"/>
        </w:rPr>
        <w:t>Land, Clare. 2014. “Tunnerminnerwait and Maulboyheenner: The Involvement of Aboriginal People from Tasmania and Key Events of Early Melbourne.” Melbourne: City of Melbourne. https://www.melbourne.vic.gov.au/SiteCollectionDocuments/tunnerminnerwait-and-maulboyheenner.pdf.</w:t>
      </w:r>
    </w:p>
    <w:p w14:paraId="7EE10F06" w14:textId="77777777" w:rsidR="008F2679" w:rsidRPr="008F2679" w:rsidRDefault="008F2679" w:rsidP="008F2679">
      <w:pPr>
        <w:pStyle w:val="Bibliography"/>
        <w:rPr>
          <w:color w:val="auto"/>
        </w:rPr>
      </w:pPr>
      <w:r w:rsidRPr="008F2679">
        <w:rPr>
          <w:color w:val="auto"/>
        </w:rPr>
        <w:t xml:space="preserve">Landrieu, Mitch. 2018. </w:t>
      </w:r>
      <w:r w:rsidRPr="008F2679">
        <w:rPr>
          <w:i/>
          <w:iCs/>
          <w:color w:val="auto"/>
        </w:rPr>
        <w:t>In the Shadow of Statues: A White Southerner Confronts History</w:t>
      </w:r>
      <w:r w:rsidRPr="008F2679">
        <w:rPr>
          <w:color w:val="auto"/>
        </w:rPr>
        <w:t>. New York: Viking Press.</w:t>
      </w:r>
    </w:p>
    <w:p w14:paraId="1B0A5962" w14:textId="77777777" w:rsidR="008F2679" w:rsidRPr="008F2679" w:rsidRDefault="008F2679" w:rsidP="008F2679">
      <w:pPr>
        <w:pStyle w:val="Bibliography"/>
        <w:rPr>
          <w:color w:val="auto"/>
        </w:rPr>
      </w:pPr>
      <w:r w:rsidRPr="008F2679">
        <w:rPr>
          <w:color w:val="auto"/>
        </w:rPr>
        <w:t xml:space="preserve">Macintyre, Stuart. 2009. </w:t>
      </w:r>
      <w:r w:rsidRPr="008F2679">
        <w:rPr>
          <w:i/>
          <w:iCs/>
          <w:color w:val="auto"/>
        </w:rPr>
        <w:t>A Concise History of Australia</w:t>
      </w:r>
      <w:r w:rsidRPr="008F2679">
        <w:rPr>
          <w:color w:val="auto"/>
        </w:rPr>
        <w:t>. Cambridge University Press.</w:t>
      </w:r>
    </w:p>
    <w:p w14:paraId="7713D658" w14:textId="77777777" w:rsidR="008F2679" w:rsidRPr="008F2679" w:rsidRDefault="008F2679" w:rsidP="008F2679">
      <w:pPr>
        <w:pStyle w:val="Bibliography"/>
        <w:rPr>
          <w:color w:val="auto"/>
        </w:rPr>
      </w:pPr>
      <w:r w:rsidRPr="008F2679">
        <w:rPr>
          <w:color w:val="auto"/>
        </w:rPr>
        <w:t xml:space="preserve">MacKinnon, Catharine. 1985. “Pornography, Civil Rights, and Speech.” </w:t>
      </w:r>
      <w:r w:rsidRPr="008F2679">
        <w:rPr>
          <w:i/>
          <w:iCs/>
          <w:color w:val="auto"/>
        </w:rPr>
        <w:t>Harvard Civil Rights/Civil Liberties Law Review</w:t>
      </w:r>
      <w:r w:rsidRPr="008F2679">
        <w:rPr>
          <w:color w:val="auto"/>
        </w:rPr>
        <w:t xml:space="preserve"> 20 (1): 10–68.</w:t>
      </w:r>
    </w:p>
    <w:p w14:paraId="4F12F4B0" w14:textId="77777777" w:rsidR="008F2679" w:rsidRPr="008F2679" w:rsidRDefault="008F2679" w:rsidP="008F2679">
      <w:pPr>
        <w:pStyle w:val="Bibliography"/>
        <w:rPr>
          <w:color w:val="auto"/>
        </w:rPr>
      </w:pPr>
      <w:r w:rsidRPr="008F2679">
        <w:rPr>
          <w:color w:val="auto"/>
        </w:rPr>
        <w:t xml:space="preserve">Maynard, John. 2018. “Myall Creek Memories.” In </w:t>
      </w:r>
      <w:r w:rsidRPr="008F2679">
        <w:rPr>
          <w:i/>
          <w:iCs/>
          <w:color w:val="auto"/>
        </w:rPr>
        <w:t>Remembering the Myall Creek Massacre</w:t>
      </w:r>
      <w:r w:rsidRPr="008F2679">
        <w:rPr>
          <w:color w:val="auto"/>
        </w:rPr>
        <w:t>, edited by Jane Lydon and Lyndall Ryan, 87–95. Sydney: University of New South Wales Press.</w:t>
      </w:r>
    </w:p>
    <w:p w14:paraId="2541F48F" w14:textId="77777777" w:rsidR="008F2679" w:rsidRPr="008F2679" w:rsidRDefault="008F2679" w:rsidP="008F2679">
      <w:pPr>
        <w:pStyle w:val="Bibliography"/>
        <w:rPr>
          <w:color w:val="auto"/>
        </w:rPr>
      </w:pPr>
      <w:r w:rsidRPr="008F2679">
        <w:rPr>
          <w:color w:val="auto"/>
        </w:rPr>
        <w:t xml:space="preserve">Miller, David. 1997. </w:t>
      </w:r>
      <w:r w:rsidRPr="008F2679">
        <w:rPr>
          <w:i/>
          <w:iCs/>
          <w:color w:val="auto"/>
        </w:rPr>
        <w:t>On Nationality</w:t>
      </w:r>
      <w:r w:rsidRPr="008F2679">
        <w:rPr>
          <w:color w:val="auto"/>
        </w:rPr>
        <w:t>. Oxford Political Theory. Oxford: Oxford University Press. http://www.oxfordscholarship.com/view/10.1093/0198293569.001.0001/acprof-9780198293569-chapter-4.</w:t>
      </w:r>
    </w:p>
    <w:p w14:paraId="6E4FC5A6" w14:textId="77777777" w:rsidR="008F2679" w:rsidRPr="008F2679" w:rsidRDefault="008F2679" w:rsidP="008F2679">
      <w:pPr>
        <w:pStyle w:val="Bibliography"/>
        <w:rPr>
          <w:color w:val="auto"/>
        </w:rPr>
      </w:pPr>
      <w:r w:rsidRPr="008F2679">
        <w:rPr>
          <w:color w:val="auto"/>
        </w:rPr>
        <w:t>“Monument Australia.” n.d. Monument Australia. Accessed April 1, 2019. http://monumentaustralia.org.au/search.</w:t>
      </w:r>
    </w:p>
    <w:p w14:paraId="055E57E3" w14:textId="77777777" w:rsidR="008F2679" w:rsidRPr="008F2679" w:rsidRDefault="008F2679" w:rsidP="008F2679">
      <w:pPr>
        <w:pStyle w:val="Bibliography"/>
        <w:rPr>
          <w:color w:val="auto"/>
        </w:rPr>
      </w:pPr>
      <w:r w:rsidRPr="008F2679">
        <w:rPr>
          <w:color w:val="auto"/>
        </w:rPr>
        <w:t xml:space="preserve">Narayan, Uma. 2005. “Cross-Cultural Connections, Border-Crossings, and ‘Death by Culture’: Thinking About Dowry-Murders in India and Domestic-Violence Murders in the United States.” In </w:t>
      </w:r>
      <w:r w:rsidRPr="008F2679">
        <w:rPr>
          <w:i/>
          <w:iCs/>
          <w:color w:val="auto"/>
        </w:rPr>
        <w:t>Theorizing Feminisms</w:t>
      </w:r>
      <w:r w:rsidRPr="008F2679">
        <w:rPr>
          <w:color w:val="auto"/>
        </w:rPr>
        <w:t>, edited by Elizabeth Hackett and Sally Haslanger, 62–77. Oxford: Oxford University Press.</w:t>
      </w:r>
    </w:p>
    <w:p w14:paraId="0F5E4635" w14:textId="77777777" w:rsidR="008F2679" w:rsidRPr="008F2679" w:rsidRDefault="008F2679" w:rsidP="008F2679">
      <w:pPr>
        <w:pStyle w:val="Bibliography"/>
        <w:rPr>
          <w:color w:val="auto"/>
        </w:rPr>
      </w:pPr>
      <w:r w:rsidRPr="008F2679">
        <w:rPr>
          <w:color w:val="auto"/>
        </w:rPr>
        <w:t xml:space="preserve">Neath, Jessica, and Brook Andrew. 2018. “Walking on Bones.” In </w:t>
      </w:r>
      <w:r w:rsidRPr="008F2679">
        <w:rPr>
          <w:i/>
          <w:iCs/>
          <w:color w:val="auto"/>
        </w:rPr>
        <w:t>Remembering the Myall Creek Massacre</w:t>
      </w:r>
      <w:r w:rsidRPr="008F2679">
        <w:rPr>
          <w:color w:val="auto"/>
        </w:rPr>
        <w:t>, edited by Jane Lydon and Lyndall Ryan, 96–112. Chicago: University of New South Wales Press. http://ebookcentral.proquest.com/lib/unc/detail.action?docID=5527926.</w:t>
      </w:r>
    </w:p>
    <w:p w14:paraId="2EB80F36" w14:textId="77777777" w:rsidR="008F2679" w:rsidRPr="008F2679" w:rsidRDefault="008F2679" w:rsidP="008F2679">
      <w:pPr>
        <w:pStyle w:val="Bibliography"/>
        <w:rPr>
          <w:color w:val="auto"/>
        </w:rPr>
      </w:pPr>
      <w:r w:rsidRPr="008F2679">
        <w:rPr>
          <w:color w:val="auto"/>
        </w:rPr>
        <w:t xml:space="preserve">Nora, Pierre. 1989. “Between Memory and History: Les Lieux de Mémoire.” </w:t>
      </w:r>
      <w:r w:rsidRPr="008F2679">
        <w:rPr>
          <w:i/>
          <w:iCs/>
          <w:color w:val="auto"/>
        </w:rPr>
        <w:t>Representations</w:t>
      </w:r>
      <w:r w:rsidRPr="008F2679">
        <w:rPr>
          <w:color w:val="auto"/>
        </w:rPr>
        <w:t>, 7–24. https://doi.org/10.2307/2928520.</w:t>
      </w:r>
    </w:p>
    <w:p w14:paraId="662C47AF" w14:textId="77777777" w:rsidR="008F2679" w:rsidRPr="008F2679" w:rsidRDefault="008F2679" w:rsidP="008F2679">
      <w:pPr>
        <w:pStyle w:val="Bibliography"/>
        <w:rPr>
          <w:color w:val="auto"/>
        </w:rPr>
      </w:pPr>
      <w:r w:rsidRPr="008F2679">
        <w:rPr>
          <w:color w:val="auto"/>
        </w:rPr>
        <w:t xml:space="preserve">Nussbaum, Martha. 1995. “Human Capabilities, Capable Human Beings.” In </w:t>
      </w:r>
      <w:r w:rsidRPr="008F2679">
        <w:rPr>
          <w:i/>
          <w:iCs/>
          <w:color w:val="auto"/>
        </w:rPr>
        <w:t>Women, Culture, and Development: A Study of Human Capabilities</w:t>
      </w:r>
      <w:r w:rsidRPr="008F2679">
        <w:rPr>
          <w:color w:val="auto"/>
        </w:rPr>
        <w:t>, edited by Martha Nussbaum and Jonathan Glover. Oxford: Oxford University Press.</w:t>
      </w:r>
    </w:p>
    <w:p w14:paraId="4BC6DFD6" w14:textId="77777777" w:rsidR="008F2679" w:rsidRPr="008F2679" w:rsidRDefault="008F2679" w:rsidP="008F2679">
      <w:pPr>
        <w:pStyle w:val="Bibliography"/>
        <w:rPr>
          <w:color w:val="auto"/>
        </w:rPr>
      </w:pPr>
      <w:r w:rsidRPr="008F2679">
        <w:rPr>
          <w:color w:val="auto"/>
        </w:rPr>
        <w:lastRenderedPageBreak/>
        <w:t xml:space="preserve">Pascoe, Bruce. 2014. </w:t>
      </w:r>
      <w:r w:rsidRPr="008F2679">
        <w:rPr>
          <w:i/>
          <w:iCs/>
          <w:color w:val="auto"/>
        </w:rPr>
        <w:t>Dark Emu: Black Seeds : Agriculture Or Accident?</w:t>
      </w:r>
      <w:r w:rsidRPr="008F2679">
        <w:rPr>
          <w:color w:val="auto"/>
        </w:rPr>
        <w:t xml:space="preserve"> Magabala Books.</w:t>
      </w:r>
    </w:p>
    <w:p w14:paraId="2785F7B9" w14:textId="77777777" w:rsidR="008F2679" w:rsidRPr="008F2679" w:rsidRDefault="008F2679" w:rsidP="008F2679">
      <w:pPr>
        <w:pStyle w:val="Bibliography"/>
        <w:rPr>
          <w:color w:val="auto"/>
        </w:rPr>
      </w:pPr>
      <w:r w:rsidRPr="008F2679">
        <w:rPr>
          <w:color w:val="auto"/>
        </w:rPr>
        <w:t xml:space="preserve">Reynolds, Henry. 2006. </w:t>
      </w:r>
      <w:r w:rsidRPr="008F2679">
        <w:rPr>
          <w:i/>
          <w:iCs/>
          <w:color w:val="auto"/>
        </w:rPr>
        <w:t>The Other Side of the Frontier: Aboriginal Resistance to the European Invasion of Australia</w:t>
      </w:r>
      <w:r w:rsidRPr="008F2679">
        <w:rPr>
          <w:color w:val="auto"/>
        </w:rPr>
        <w:t>. Sydney: University of New South Wales Press.</w:t>
      </w:r>
    </w:p>
    <w:p w14:paraId="597D4C06" w14:textId="77777777" w:rsidR="008F2679" w:rsidRPr="008F2679" w:rsidRDefault="008F2679" w:rsidP="008F2679">
      <w:pPr>
        <w:pStyle w:val="Bibliography"/>
        <w:rPr>
          <w:color w:val="auto"/>
        </w:rPr>
      </w:pPr>
      <w:r w:rsidRPr="008F2679">
        <w:rPr>
          <w:color w:val="auto"/>
        </w:rPr>
        <w:t xml:space="preserve">———. 2013. </w:t>
      </w:r>
      <w:r w:rsidRPr="008F2679">
        <w:rPr>
          <w:i/>
          <w:iCs/>
          <w:color w:val="auto"/>
        </w:rPr>
        <w:t>Forgotten War</w:t>
      </w:r>
      <w:r w:rsidRPr="008F2679">
        <w:rPr>
          <w:color w:val="auto"/>
        </w:rPr>
        <w:t>. Sydney: University of New South Wales Press. http://ebookcentral.proquest.com/lib/unc/detail.action?docID=1340908.</w:t>
      </w:r>
    </w:p>
    <w:p w14:paraId="36DA5786" w14:textId="77777777" w:rsidR="008F2679" w:rsidRPr="008F2679" w:rsidRDefault="008F2679" w:rsidP="008F2679">
      <w:pPr>
        <w:pStyle w:val="Bibliography"/>
        <w:rPr>
          <w:color w:val="auto"/>
        </w:rPr>
      </w:pPr>
      <w:r w:rsidRPr="008F2679">
        <w:rPr>
          <w:color w:val="auto"/>
        </w:rPr>
        <w:t xml:space="preserve">Rieff, David. 2016. </w:t>
      </w:r>
      <w:r w:rsidRPr="008F2679">
        <w:rPr>
          <w:i/>
          <w:iCs/>
          <w:color w:val="auto"/>
        </w:rPr>
        <w:t>In Praise of Forgetting: Historical Memory and Its Ironies</w:t>
      </w:r>
      <w:r w:rsidRPr="008F2679">
        <w:rPr>
          <w:color w:val="auto"/>
        </w:rPr>
        <w:t>. New Haven, CT: Yale University Press.</w:t>
      </w:r>
    </w:p>
    <w:p w14:paraId="715C853F" w14:textId="77777777" w:rsidR="008F2679" w:rsidRPr="008F2679" w:rsidRDefault="008F2679" w:rsidP="008F2679">
      <w:pPr>
        <w:pStyle w:val="Bibliography"/>
        <w:rPr>
          <w:color w:val="auto"/>
        </w:rPr>
      </w:pPr>
      <w:r w:rsidRPr="008F2679">
        <w:rPr>
          <w:color w:val="auto"/>
        </w:rPr>
        <w:t xml:space="preserve">Robinson, Scott. 2014. “The Aboriginal Embassy: An Account of the Protests of 1972.” In </w:t>
      </w:r>
      <w:r w:rsidRPr="008F2679">
        <w:rPr>
          <w:i/>
          <w:iCs/>
          <w:color w:val="auto"/>
        </w:rPr>
        <w:t xml:space="preserve">The Aboriginal Tent Embassy: Sovereignty, Black Power, </w:t>
      </w:r>
      <w:proofErr w:type="spellStart"/>
      <w:r w:rsidRPr="008F2679">
        <w:rPr>
          <w:i/>
          <w:iCs/>
          <w:color w:val="auto"/>
        </w:rPr>
        <w:t>Landrights</w:t>
      </w:r>
      <w:proofErr w:type="spellEnd"/>
      <w:r w:rsidRPr="008F2679">
        <w:rPr>
          <w:i/>
          <w:iCs/>
          <w:color w:val="auto"/>
        </w:rPr>
        <w:t xml:space="preserve"> and the State</w:t>
      </w:r>
      <w:r w:rsidRPr="008F2679">
        <w:rPr>
          <w:color w:val="auto"/>
        </w:rPr>
        <w:t>, edited by Gary Foley, Andrew Schaap, and Edwina Howell, 3–21. New York: Routledge.</w:t>
      </w:r>
    </w:p>
    <w:p w14:paraId="0570AC5D" w14:textId="77777777" w:rsidR="008F2679" w:rsidRPr="008F2679" w:rsidRDefault="008F2679" w:rsidP="008F2679">
      <w:pPr>
        <w:pStyle w:val="Bibliography"/>
        <w:rPr>
          <w:color w:val="auto"/>
        </w:rPr>
      </w:pPr>
      <w:r w:rsidRPr="008F2679">
        <w:rPr>
          <w:color w:val="auto"/>
        </w:rPr>
        <w:t xml:space="preserve">Rorty, Richard. 1989. </w:t>
      </w:r>
      <w:r w:rsidRPr="008F2679">
        <w:rPr>
          <w:i/>
          <w:iCs/>
          <w:color w:val="auto"/>
        </w:rPr>
        <w:t>Contingency, Irony, and Solidarity</w:t>
      </w:r>
      <w:r w:rsidRPr="008F2679">
        <w:rPr>
          <w:color w:val="auto"/>
        </w:rPr>
        <w:t>. Cambridge: Cambridge University Press.</w:t>
      </w:r>
    </w:p>
    <w:p w14:paraId="4E91239B" w14:textId="77777777" w:rsidR="008F2679" w:rsidRPr="008F2679" w:rsidRDefault="008F2679" w:rsidP="008F2679">
      <w:pPr>
        <w:pStyle w:val="Bibliography"/>
        <w:rPr>
          <w:color w:val="auto"/>
        </w:rPr>
      </w:pPr>
      <w:r w:rsidRPr="008F2679">
        <w:rPr>
          <w:color w:val="auto"/>
        </w:rPr>
        <w:t xml:space="preserve">Rowse, Tim. 2010. “The Reforming State, the Concerned Public and Indigenous Political Actors.” </w:t>
      </w:r>
      <w:r w:rsidRPr="008F2679">
        <w:rPr>
          <w:i/>
          <w:iCs/>
          <w:color w:val="auto"/>
        </w:rPr>
        <w:t>Australian Journal of Politics &amp; History</w:t>
      </w:r>
      <w:r w:rsidRPr="008F2679">
        <w:rPr>
          <w:color w:val="auto"/>
        </w:rPr>
        <w:t xml:space="preserve"> 56 (1): 66–81. https://doi.org/10.1111/j.1467-8497.2010.01542.x.</w:t>
      </w:r>
    </w:p>
    <w:p w14:paraId="310FD783" w14:textId="77777777" w:rsidR="008F2679" w:rsidRPr="008F2679" w:rsidRDefault="008F2679" w:rsidP="008F2679">
      <w:pPr>
        <w:pStyle w:val="Bibliography"/>
        <w:rPr>
          <w:color w:val="auto"/>
        </w:rPr>
      </w:pPr>
      <w:r w:rsidRPr="008F2679">
        <w:rPr>
          <w:color w:val="auto"/>
        </w:rPr>
        <w:t xml:space="preserve">Ryan, Lyndall. 2012. “Settler Massacres on the Australian Colonial Frontier, 1836-1851.” In </w:t>
      </w:r>
      <w:r w:rsidRPr="008F2679">
        <w:rPr>
          <w:i/>
          <w:iCs/>
          <w:color w:val="auto"/>
        </w:rPr>
        <w:t>Theatres of Violence : Massacre, Mass Killing and Atrocity Throughout History</w:t>
      </w:r>
      <w:r w:rsidRPr="008F2679">
        <w:rPr>
          <w:color w:val="auto"/>
        </w:rPr>
        <w:t>, 94–109. New York: Berghahn Books.</w:t>
      </w:r>
    </w:p>
    <w:p w14:paraId="47CB8D23" w14:textId="77777777" w:rsidR="008F2679" w:rsidRPr="008F2679" w:rsidRDefault="008F2679" w:rsidP="008F2679">
      <w:pPr>
        <w:pStyle w:val="Bibliography"/>
        <w:rPr>
          <w:color w:val="auto"/>
        </w:rPr>
      </w:pPr>
      <w:r w:rsidRPr="008F2679">
        <w:rPr>
          <w:color w:val="auto"/>
        </w:rPr>
        <w:t>Ryan, Lyndall, Jennifer Debenham, Mark Brown, and William Pascoe. 2017. “Colonial Frontier Massacres in Eastern Australia 1788-1872.” Centre For 21st Century Humanities. 2017. https://c21ch.newcastle.edu.au/colonialmassacres/map.php.</w:t>
      </w:r>
    </w:p>
    <w:p w14:paraId="66F25BAB" w14:textId="77777777" w:rsidR="008F2679" w:rsidRPr="008F2679" w:rsidRDefault="008F2679" w:rsidP="008F2679">
      <w:pPr>
        <w:pStyle w:val="Bibliography"/>
        <w:rPr>
          <w:color w:val="auto"/>
        </w:rPr>
      </w:pPr>
      <w:r w:rsidRPr="008F2679">
        <w:rPr>
          <w:color w:val="auto"/>
        </w:rPr>
        <w:t xml:space="preserve">Ryan, Lyndall, and Jane Lydon. 2018. “Introduction: Remembering Myall Creek.” In </w:t>
      </w:r>
      <w:r w:rsidRPr="008F2679">
        <w:rPr>
          <w:i/>
          <w:iCs/>
          <w:color w:val="auto"/>
        </w:rPr>
        <w:t>Remembering the Myall Creek Massacre</w:t>
      </w:r>
      <w:r w:rsidRPr="008F2679">
        <w:rPr>
          <w:color w:val="auto"/>
        </w:rPr>
        <w:t>, edited by Jane Lydon and Lyndall Ryan, 13–20. Sydney: University of New South Wales Press.</w:t>
      </w:r>
    </w:p>
    <w:p w14:paraId="7AB394CC" w14:textId="77777777" w:rsidR="008F2679" w:rsidRPr="008F2679" w:rsidRDefault="008F2679" w:rsidP="008F2679">
      <w:pPr>
        <w:pStyle w:val="Bibliography"/>
        <w:rPr>
          <w:color w:val="auto"/>
        </w:rPr>
      </w:pPr>
      <w:r w:rsidRPr="008F2679">
        <w:rPr>
          <w:color w:val="auto"/>
        </w:rPr>
        <w:t>Ryan, Lyndall, Jonathan Richards, William Pascoe, Jennifer Debenham, Mark Brown, Robyn Smith, Daniel Price, Jack Newley, and Robert J Anders. n.d. “Colonial Frontier Massacres in Central and Eastern Australia 1788-1930.” Centre For 21st Century Humanities. Accessed May 24, 2018. https://c21ch.newcastle.edu.au/colonialmassacres/map.php.</w:t>
      </w:r>
    </w:p>
    <w:p w14:paraId="5660429B" w14:textId="77777777" w:rsidR="008F2679" w:rsidRPr="008F2679" w:rsidRDefault="008F2679" w:rsidP="008F2679">
      <w:pPr>
        <w:pStyle w:val="Bibliography"/>
        <w:rPr>
          <w:color w:val="auto"/>
        </w:rPr>
      </w:pPr>
      <w:r w:rsidRPr="008F2679">
        <w:rPr>
          <w:color w:val="auto"/>
        </w:rPr>
        <w:t xml:space="preserve">Shklar, Judith. 1989. “The Liberalism of Fear.” In </w:t>
      </w:r>
      <w:r w:rsidRPr="008F2679">
        <w:rPr>
          <w:i/>
          <w:iCs/>
          <w:color w:val="auto"/>
        </w:rPr>
        <w:t>Liberalism and the Moral Life</w:t>
      </w:r>
      <w:r w:rsidRPr="008F2679">
        <w:rPr>
          <w:color w:val="auto"/>
        </w:rPr>
        <w:t>, edited by Nancy L. Rosenblum, 21–38. Cambridge, MA: Harvard University Press.</w:t>
      </w:r>
    </w:p>
    <w:p w14:paraId="45E80EBF" w14:textId="77777777" w:rsidR="008F2679" w:rsidRPr="008F2679" w:rsidRDefault="008F2679" w:rsidP="008F2679">
      <w:pPr>
        <w:pStyle w:val="Bibliography"/>
        <w:rPr>
          <w:color w:val="auto"/>
        </w:rPr>
      </w:pPr>
      <w:r w:rsidRPr="008F2679">
        <w:rPr>
          <w:color w:val="auto"/>
        </w:rPr>
        <w:t xml:space="preserve">Sontag, Susan. 1977. </w:t>
      </w:r>
      <w:r w:rsidRPr="008F2679">
        <w:rPr>
          <w:i/>
          <w:iCs/>
          <w:color w:val="auto"/>
        </w:rPr>
        <w:t>On Photography</w:t>
      </w:r>
      <w:r w:rsidRPr="008F2679">
        <w:rPr>
          <w:color w:val="auto"/>
        </w:rPr>
        <w:t>. New York: Anchor Books.</w:t>
      </w:r>
    </w:p>
    <w:p w14:paraId="728A9870" w14:textId="77777777" w:rsidR="008F2679" w:rsidRPr="008F2679" w:rsidRDefault="008F2679" w:rsidP="008F2679">
      <w:pPr>
        <w:pStyle w:val="Bibliography"/>
        <w:rPr>
          <w:color w:val="auto"/>
        </w:rPr>
      </w:pPr>
      <w:r w:rsidRPr="008F2679">
        <w:rPr>
          <w:color w:val="auto"/>
        </w:rPr>
        <w:t xml:space="preserve">Strakosch, Elizabeth. 2010. “Counter-Monuments and Nation-Building in Australia.” </w:t>
      </w:r>
      <w:r w:rsidRPr="008F2679">
        <w:rPr>
          <w:i/>
          <w:iCs/>
          <w:color w:val="auto"/>
        </w:rPr>
        <w:t>Peace Review: A Journal of Social Justice</w:t>
      </w:r>
      <w:r w:rsidRPr="008F2679">
        <w:rPr>
          <w:color w:val="auto"/>
        </w:rPr>
        <w:t xml:space="preserve"> 22: 268–75.</w:t>
      </w:r>
    </w:p>
    <w:p w14:paraId="4A0705D6" w14:textId="77777777" w:rsidR="008F2679" w:rsidRPr="008F2679" w:rsidRDefault="008F2679" w:rsidP="008F2679">
      <w:pPr>
        <w:pStyle w:val="Bibliography"/>
        <w:rPr>
          <w:color w:val="auto"/>
        </w:rPr>
      </w:pPr>
      <w:r w:rsidRPr="008F2679">
        <w:rPr>
          <w:color w:val="auto"/>
        </w:rPr>
        <w:t xml:space="preserve">Tedeschi, Mark. 2018. “Afterword.” In </w:t>
      </w:r>
      <w:r w:rsidRPr="008F2679">
        <w:rPr>
          <w:i/>
          <w:iCs/>
          <w:color w:val="auto"/>
        </w:rPr>
        <w:t>Remembering the Myall Creek Massacre</w:t>
      </w:r>
      <w:r w:rsidRPr="008F2679">
        <w:rPr>
          <w:color w:val="auto"/>
        </w:rPr>
        <w:t>, edited by Jane Lydon and Lyndall Ryan, 113–16. Sydney: University of New South Wales Press.</w:t>
      </w:r>
    </w:p>
    <w:p w14:paraId="0A77B40B" w14:textId="77777777" w:rsidR="008F2679" w:rsidRPr="008F2679" w:rsidRDefault="008F2679" w:rsidP="008F2679">
      <w:pPr>
        <w:pStyle w:val="Bibliography"/>
        <w:rPr>
          <w:color w:val="auto"/>
        </w:rPr>
      </w:pPr>
      <w:r w:rsidRPr="008F2679">
        <w:rPr>
          <w:color w:val="auto"/>
        </w:rPr>
        <w:t xml:space="preserve">Waldron, Jeremy. 2012. </w:t>
      </w:r>
      <w:r w:rsidRPr="008F2679">
        <w:rPr>
          <w:i/>
          <w:iCs/>
          <w:color w:val="auto"/>
        </w:rPr>
        <w:t>The Harm in Hate Speech</w:t>
      </w:r>
      <w:r w:rsidRPr="008F2679">
        <w:rPr>
          <w:color w:val="auto"/>
        </w:rPr>
        <w:t>. Cambridge, MA: Harvard University Press.</w:t>
      </w:r>
    </w:p>
    <w:p w14:paraId="2D42C08C" w14:textId="77777777" w:rsidR="008F2679" w:rsidRPr="008F2679" w:rsidRDefault="008F2679" w:rsidP="008F2679">
      <w:pPr>
        <w:pStyle w:val="Bibliography"/>
        <w:rPr>
          <w:color w:val="auto"/>
        </w:rPr>
      </w:pPr>
      <w:r w:rsidRPr="008F2679">
        <w:rPr>
          <w:color w:val="auto"/>
        </w:rPr>
        <w:t xml:space="preserve">Williamson, Thad. 2010. </w:t>
      </w:r>
      <w:r w:rsidRPr="008F2679">
        <w:rPr>
          <w:i/>
          <w:iCs/>
          <w:color w:val="auto"/>
        </w:rPr>
        <w:t>Sprawl, Justice, and Citizenship: The Civic Costs of the American Way of Life</w:t>
      </w:r>
      <w:r w:rsidRPr="008F2679">
        <w:rPr>
          <w:color w:val="auto"/>
        </w:rPr>
        <w:t>. Oxford: Oxford University Press.</w:t>
      </w:r>
    </w:p>
    <w:p w14:paraId="74E17753" w14:textId="77777777" w:rsidR="008F2679" w:rsidRPr="008F2679" w:rsidRDefault="008F2679" w:rsidP="008F2679">
      <w:pPr>
        <w:pStyle w:val="Bibliography"/>
        <w:rPr>
          <w:color w:val="auto"/>
        </w:rPr>
      </w:pPr>
      <w:r w:rsidRPr="008F2679">
        <w:rPr>
          <w:color w:val="auto"/>
        </w:rPr>
        <w:t xml:space="preserve">Young, Iris Marion. 2002. </w:t>
      </w:r>
      <w:r w:rsidRPr="008F2679">
        <w:rPr>
          <w:i/>
          <w:iCs/>
          <w:color w:val="auto"/>
        </w:rPr>
        <w:t>Inclusion and Democracy</w:t>
      </w:r>
      <w:r w:rsidRPr="008F2679">
        <w:rPr>
          <w:color w:val="auto"/>
        </w:rPr>
        <w:t>. Oxford: Oxford University Press. http://www.oxfordscholarship.com/view/10.1093/0198297556.001.0001/acprof-9780198297550-chapter-7.</w:t>
      </w:r>
    </w:p>
    <w:p w14:paraId="08AB9B66" w14:textId="77777777" w:rsidR="008F2679" w:rsidRPr="008F2679" w:rsidRDefault="008F2679" w:rsidP="008F2679">
      <w:pPr>
        <w:pStyle w:val="Bibliography"/>
        <w:rPr>
          <w:color w:val="auto"/>
        </w:rPr>
      </w:pPr>
      <w:r w:rsidRPr="008F2679">
        <w:rPr>
          <w:color w:val="auto"/>
        </w:rPr>
        <w:t xml:space="preserve">Young, James. 1994. </w:t>
      </w:r>
      <w:r w:rsidRPr="008F2679">
        <w:rPr>
          <w:i/>
          <w:iCs/>
          <w:color w:val="auto"/>
        </w:rPr>
        <w:t>The Texture of Memory: Holocaust Memorials and Meaning</w:t>
      </w:r>
      <w:r w:rsidRPr="008F2679">
        <w:rPr>
          <w:color w:val="auto"/>
        </w:rPr>
        <w:t>. New Haven: Yale University Press.</w:t>
      </w:r>
    </w:p>
    <w:p w14:paraId="3A754F6D" w14:textId="77777777" w:rsidR="008F2679" w:rsidRPr="008F2679" w:rsidRDefault="008F2679" w:rsidP="008F2679">
      <w:pPr>
        <w:pStyle w:val="Bibliography"/>
        <w:rPr>
          <w:color w:val="auto"/>
        </w:rPr>
      </w:pPr>
      <w:r w:rsidRPr="008F2679">
        <w:rPr>
          <w:color w:val="auto"/>
        </w:rPr>
        <w:t xml:space="preserve">Zerilli, Linda M. G. 2009. “Toward a Feminist Theory of Judgment.” </w:t>
      </w:r>
      <w:r w:rsidRPr="008F2679">
        <w:rPr>
          <w:i/>
          <w:iCs/>
          <w:color w:val="auto"/>
        </w:rPr>
        <w:t>Signs</w:t>
      </w:r>
      <w:r w:rsidRPr="008F2679">
        <w:rPr>
          <w:color w:val="auto"/>
        </w:rPr>
        <w:t xml:space="preserve"> 34 (2): 295–317. https://doi.org/10.1086/591090.</w:t>
      </w:r>
    </w:p>
    <w:p w14:paraId="6291C664" w14:textId="32A0590C" w:rsidR="00AF5968" w:rsidRPr="00AF5968" w:rsidRDefault="00FA3BDB" w:rsidP="00AF5968">
      <w:r>
        <w:lastRenderedPageBreak/>
        <w:fldChar w:fldCharType="end"/>
      </w:r>
    </w:p>
    <w:p w14:paraId="249FB085" w14:textId="1D43A2F4" w:rsidR="007732DA" w:rsidRDefault="007732DA" w:rsidP="00933B15">
      <w:pPr>
        <w:contextualSpacing/>
        <w:rPr>
          <w:szCs w:val="24"/>
        </w:rPr>
      </w:pPr>
    </w:p>
    <w:p w14:paraId="46CF2CCD" w14:textId="58C90726" w:rsidR="007732DA" w:rsidRPr="00D05402" w:rsidRDefault="007732DA" w:rsidP="00933B15">
      <w:pPr>
        <w:contextualSpacing/>
        <w:rPr>
          <w:szCs w:val="24"/>
        </w:rPr>
      </w:pPr>
    </w:p>
    <w:sectPr w:rsidR="007732DA" w:rsidRPr="00D05402" w:rsidSect="0007420B">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D4795" w14:textId="77777777" w:rsidR="0047299A" w:rsidRDefault="0047299A" w:rsidP="005B7B95">
      <w:r>
        <w:separator/>
      </w:r>
    </w:p>
  </w:endnote>
  <w:endnote w:type="continuationSeparator" w:id="0">
    <w:p w14:paraId="06EBF7D6" w14:textId="77777777" w:rsidR="0047299A" w:rsidRDefault="0047299A" w:rsidP="005B7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2431775"/>
      <w:docPartObj>
        <w:docPartGallery w:val="Page Numbers (Bottom of Page)"/>
        <w:docPartUnique/>
      </w:docPartObj>
    </w:sdtPr>
    <w:sdtContent>
      <w:p w14:paraId="2950995F" w14:textId="0C174B0F" w:rsidR="00A701D2" w:rsidRDefault="00A701D2" w:rsidP="00D134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C5DA1" w14:textId="77777777" w:rsidR="00A701D2" w:rsidRDefault="00A701D2" w:rsidP="00091C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0607075"/>
      <w:docPartObj>
        <w:docPartGallery w:val="Page Numbers (Bottom of Page)"/>
        <w:docPartUnique/>
      </w:docPartObj>
    </w:sdtPr>
    <w:sdtContent>
      <w:p w14:paraId="3200CC69" w14:textId="221E195D" w:rsidR="00A701D2" w:rsidRDefault="00A701D2" w:rsidP="00D134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5E851198" w14:textId="77777777" w:rsidR="00A701D2" w:rsidRDefault="00A701D2" w:rsidP="00091C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83E59" w14:textId="77777777" w:rsidR="0047299A" w:rsidRDefault="0047299A" w:rsidP="005B7B95">
      <w:r>
        <w:separator/>
      </w:r>
    </w:p>
  </w:footnote>
  <w:footnote w:type="continuationSeparator" w:id="0">
    <w:p w14:paraId="06971DE7" w14:textId="77777777" w:rsidR="0047299A" w:rsidRDefault="0047299A" w:rsidP="005B7B95">
      <w:r>
        <w:continuationSeparator/>
      </w:r>
    </w:p>
  </w:footnote>
  <w:footnote w:id="1">
    <w:p w14:paraId="0B16D23B" w14:textId="77777777" w:rsidR="00A701D2" w:rsidRPr="00AE65BC" w:rsidRDefault="00A701D2" w:rsidP="00435B43">
      <w:pPr>
        <w:ind w:right="720"/>
        <w:contextualSpacing/>
        <w:rPr>
          <w:sz w:val="22"/>
        </w:rPr>
      </w:pPr>
      <w:r w:rsidRPr="00AE65BC">
        <w:rPr>
          <w:rStyle w:val="FootnoteReference"/>
          <w:sz w:val="22"/>
        </w:rPr>
        <w:footnoteRef/>
      </w:r>
      <w:r w:rsidRPr="00AE65BC">
        <w:rPr>
          <w:sz w:val="22"/>
        </w:rPr>
        <w:t xml:space="preserve"> Exceptions include Elizabeth Grosz’s </w:t>
      </w:r>
      <w:r w:rsidRPr="00AE65BC">
        <w:rPr>
          <w:sz w:val="22"/>
        </w:rPr>
        <w:fldChar w:fldCharType="begin"/>
      </w:r>
      <w:r w:rsidRPr="00AE65BC">
        <w:rPr>
          <w:sz w:val="22"/>
        </w:rPr>
        <w:instrText xml:space="preserve"> ADDIN ZOTERO_ITEM CSL_CITATION {"citationID":"I4o0kIyc","properties":{"formattedCitation":"(Grosz 2001)","plainCitation":"(Grosz 2001)","noteIndex":1},"citationItems":[{"id":1161,"uris":["http://zotero.org/users/3096777/items/WWKZXQH2"],"uri":["http://zotero.org/users/3096777/items/WWKZXQH2"],"itemData":{"id":1161,"type":"book","title":"Architecture from the Outside: Essays on Virtual and Real Space","publisher":"MIT Press","publisher-place":"Cambridge, MA","number-of-pages":"252","event-place":"Cambridge, MA","abstract":"Essays at the intersection of philosophy and architecture explore how we understand and inhabit space.To be outside allows one a fresh perspective on the inside. In these essays, philosopher Elizabeth Grosz explores the ways in which two disciplines that are fundamentally outside each another—architecture and philosophy—can meet in a third space to interact free of their internal constraints. \"Outside\" also refers to those whose voices are not usually heard in architectural discourse but who inhabit its space—the destitute, the homeless, the sick, and the dying, as well as women and minorities. Grosz asks how we can understand space differently in order to structure and inhabit our living arrangements accordingly. Two themes run throughout the book: temporal flow and sexual specificity. Grosz argues that time, change, and emergence, traditionally viewed as outside the concerns of space, must become more integral to the processes of design and construction. She also argues against architecture's historical indifference to sexual specificity, asking what the existence of (at least) two sexes has to do with how we understand and experience space. Drawing on the work of such philosophers as Henri Bergson, Roger Caillois, Gilles Deleuze, Jacques Derrida, Luce Irigaray, and Jacques Lacan, Grosz raises abstract but nonformalistic questions about space, inhabitation, and building. All of the essays propose philosophical experiments to render space and building more mobile and dynamic.","ISBN":"978-0-262-26536-2","shortTitle":"Architecture from the Outside","language":"en","author":[{"family":"Grosz","given":"Elizabeth"}],"issued":{"date-parts":[["2001"]]}}}],"schema":"https://github.com/citation-style-language/schema/raw/master/csl-citation.json"} </w:instrText>
      </w:r>
      <w:r w:rsidRPr="00AE65BC">
        <w:rPr>
          <w:sz w:val="22"/>
        </w:rPr>
        <w:fldChar w:fldCharType="separate"/>
      </w:r>
      <w:r w:rsidRPr="00AE65BC">
        <w:rPr>
          <w:noProof/>
          <w:sz w:val="22"/>
        </w:rPr>
        <w:t>(Grosz 2001)</w:t>
      </w:r>
      <w:r w:rsidRPr="00AE65BC">
        <w:rPr>
          <w:sz w:val="22"/>
        </w:rPr>
        <w:fldChar w:fldCharType="end"/>
      </w:r>
      <w:r w:rsidRPr="00AE65BC">
        <w:rPr>
          <w:sz w:val="22"/>
        </w:rPr>
        <w:t xml:space="preserve"> proposal for a more inclusive conception of architecture and space, Susan Bickford’s </w:t>
      </w:r>
      <w:r w:rsidRPr="00AE65BC">
        <w:rPr>
          <w:sz w:val="22"/>
        </w:rPr>
        <w:fldChar w:fldCharType="begin"/>
      </w:r>
      <w:r w:rsidRPr="00AE65BC">
        <w:rPr>
          <w:sz w:val="22"/>
        </w:rPr>
        <w:instrText xml:space="preserve"> ADDIN ZOTERO_ITEM CSL_CITATION {"citationID":"4r1nctvT","properties":{"formattedCitation":"(2000)","plainCitation":"(2000)","noteIndex":1},"citationItems":[{"id":320,"uris":["http://zotero.org/users/3096777/items/2QFECI4C"],"uri":["http://zotero.org/users/3096777/items/2QFECI4C"],"itemData":{"id":320,"type":"article-journal","title":"Constructing Inequality","container-title":"Political Theory","page":"355-376","volume":"28","abstract":"Our urban problem is how to revive the reality of the outside as a dimension of human experience.Richard Sennett","author":[{"family":"Bickford","given":"Susan"}],"issued":{"date-parts":[["2000"]]}},"suppress-author":true}],"schema":"https://github.com/citation-style-language/schema/raw/master/csl-citation.json"} </w:instrText>
      </w:r>
      <w:r w:rsidRPr="00AE65BC">
        <w:rPr>
          <w:sz w:val="22"/>
        </w:rPr>
        <w:fldChar w:fldCharType="separate"/>
      </w:r>
      <w:r w:rsidRPr="00AE65BC">
        <w:rPr>
          <w:sz w:val="22"/>
        </w:rPr>
        <w:t>(2000)</w:t>
      </w:r>
      <w:r w:rsidRPr="00AE65BC">
        <w:rPr>
          <w:sz w:val="22"/>
        </w:rPr>
        <w:fldChar w:fldCharType="end"/>
      </w:r>
      <w:r w:rsidRPr="00AE65BC">
        <w:rPr>
          <w:sz w:val="22"/>
        </w:rPr>
        <w:t xml:space="preserve"> examination of the institutional sanitization of public spaces purified of discomfort and uncertainty, Thad Williamson’s </w:t>
      </w:r>
      <w:r w:rsidRPr="00AE65BC">
        <w:rPr>
          <w:sz w:val="22"/>
        </w:rPr>
        <w:fldChar w:fldCharType="begin"/>
      </w:r>
      <w:r w:rsidRPr="00AE65BC">
        <w:rPr>
          <w:sz w:val="22"/>
        </w:rPr>
        <w:instrText xml:space="preserve"> ADDIN ZOTERO_ITEM CSL_CITATION {"citationID":"4gNtZXqi","properties":{"formattedCitation":"(2010)","plainCitation":"(2010)","noteIndex":1},"citationItems":[{"id":922,"uris":["http://zotero.org/users/3096777/items/D2ZDGTQI"],"uri":["http://zotero.org/users/3096777/items/D2ZDGTQI"],"itemData":{"id":922,"type":"book","title":"Sprawl, Justice, and Citizenship: The Civic Costs of the American Way of Life","publisher":"Oxford University Press","publisher-place":"Oxford","event-place":"Oxford","author":[{"family":"Williamson","given":"Thad"}],"issued":{"date-parts":[["2010"]]}},"suppress-author":true}],"schema":"https://github.com/citation-style-language/schema/raw/master/csl-citation.json"} </w:instrText>
      </w:r>
      <w:r w:rsidRPr="00AE65BC">
        <w:rPr>
          <w:sz w:val="22"/>
        </w:rPr>
        <w:fldChar w:fldCharType="separate"/>
      </w:r>
      <w:r w:rsidRPr="00AE65BC">
        <w:rPr>
          <w:sz w:val="22"/>
        </w:rPr>
        <w:t>(2010)</w:t>
      </w:r>
      <w:r w:rsidRPr="00AE65BC">
        <w:rPr>
          <w:sz w:val="22"/>
        </w:rPr>
        <w:fldChar w:fldCharType="end"/>
      </w:r>
      <w:r w:rsidRPr="00AE65BC">
        <w:rPr>
          <w:sz w:val="22"/>
        </w:rPr>
        <w:t xml:space="preserve"> analysis of sprawl as a moral issue of injustice, and Jennifer Forestal’s </w:t>
      </w:r>
      <w:r w:rsidRPr="00AE65BC">
        <w:rPr>
          <w:sz w:val="22"/>
        </w:rPr>
        <w:fldChar w:fldCharType="begin"/>
      </w:r>
      <w:r w:rsidRPr="00AE65BC">
        <w:rPr>
          <w:sz w:val="22"/>
        </w:rPr>
        <w:instrText xml:space="preserve"> ADDIN ZOTERO_ITEM CSL_CITATION {"citationID":"xadkdlRc","properties":{"formattedCitation":"(2017)","plainCitation":"(2017)","noteIndex":1},"citationItems":[{"id":393,"uris":["http://zotero.org/users/3096777/items/UUB62847"],"uri":["http://zotero.org/users/3096777/items/UUB62847"],"itemData":{"id":393,"type":"article-journal","title":"The Architecture of Political Spaces: Trolls, Digital Media, and Deweyan Democracy","container-title":"American Political Science Review","page":"149-161","volume":"111","author":[{"family":"Forestal","given":"Jennifer"}],"issued":{"date-parts":[["2017"]]}},"suppress-author":true}],"schema":"https://github.com/citation-style-language/schema/raw/master/csl-citation.json"} </w:instrText>
      </w:r>
      <w:r w:rsidRPr="00AE65BC">
        <w:rPr>
          <w:sz w:val="22"/>
        </w:rPr>
        <w:fldChar w:fldCharType="separate"/>
      </w:r>
      <w:r w:rsidRPr="00AE65BC">
        <w:rPr>
          <w:sz w:val="22"/>
        </w:rPr>
        <w:t>(2017)</w:t>
      </w:r>
      <w:r w:rsidRPr="00AE65BC">
        <w:rPr>
          <w:sz w:val="22"/>
        </w:rPr>
        <w:fldChar w:fldCharType="end"/>
      </w:r>
      <w:r w:rsidRPr="00AE65BC">
        <w:rPr>
          <w:sz w:val="22"/>
        </w:rPr>
        <w:t xml:space="preserve"> connection between the design of physical and digital spaces and those spaces’ effects on democratic engagement.</w:t>
      </w:r>
    </w:p>
  </w:footnote>
  <w:footnote w:id="2">
    <w:p w14:paraId="1CAE8CDE" w14:textId="0928FBE8" w:rsidR="00A701D2" w:rsidRPr="00AE65BC" w:rsidRDefault="00A701D2" w:rsidP="00052337">
      <w:pPr>
        <w:pStyle w:val="FootnoteText"/>
        <w:rPr>
          <w:sz w:val="22"/>
          <w:szCs w:val="22"/>
        </w:rPr>
      </w:pPr>
      <w:r w:rsidRPr="00AE65BC">
        <w:rPr>
          <w:rStyle w:val="FootnoteReference"/>
          <w:sz w:val="22"/>
          <w:szCs w:val="22"/>
        </w:rPr>
        <w:footnoteRef/>
      </w:r>
      <w:r w:rsidRPr="00AE65BC">
        <w:rPr>
          <w:sz w:val="22"/>
          <w:szCs w:val="22"/>
        </w:rPr>
        <w:t xml:space="preserve"> </w:t>
      </w:r>
      <w:r w:rsidRPr="00AE65BC">
        <w:rPr>
          <w:sz w:val="22"/>
          <w:szCs w:val="22"/>
        </w:rPr>
        <w:fldChar w:fldCharType="begin"/>
      </w:r>
      <w:r w:rsidR="0059457C">
        <w:rPr>
          <w:sz w:val="22"/>
          <w:szCs w:val="22"/>
        </w:rPr>
        <w:instrText xml:space="preserve"> ADDIN ZOTERO_ITEM CSL_CITATION {"citationID":"HXli4e0w","properties":{"formattedCitation":"(Barthes 1984)","plainCitation":"(Barthes 1984)","noteIndex":2},"citationItems":[{"id":1175,"uris":["http://zotero.org/users/3096777/items/ZHYHBNLJ"],"uri":["http://zotero.org/users/3096777/items/ZHYHBNLJ"],"itemData":{"id":1175,"type":"chapter","title":"From Work to Text","container-title":"The Rustle of Language","publisher":"Hill and Wang","publisher-place":"New York","page":"56-64","event-place":"New York","abstract":"Originally published 1971","author":[{"family":"Barthes","given":"Roland"}],"translator":[{"family":"Howard","given":"Richard"}],"issued":{"date-parts":[["1984"]]}}}],"schema":"https://github.com/citation-style-language/schema/raw/master/csl-citation.json"} </w:instrText>
      </w:r>
      <w:r w:rsidRPr="00AE65BC">
        <w:rPr>
          <w:sz w:val="22"/>
          <w:szCs w:val="22"/>
        </w:rPr>
        <w:fldChar w:fldCharType="separate"/>
      </w:r>
      <w:r w:rsidRPr="00AE65BC">
        <w:rPr>
          <w:color w:val="auto"/>
          <w:sz w:val="22"/>
          <w:szCs w:val="22"/>
        </w:rPr>
        <w:t>(Barthes 1984)</w:t>
      </w:r>
      <w:r w:rsidRPr="00AE65BC">
        <w:rPr>
          <w:sz w:val="22"/>
          <w:szCs w:val="22"/>
        </w:rPr>
        <w:fldChar w:fldCharType="end"/>
      </w:r>
    </w:p>
  </w:footnote>
  <w:footnote w:id="3">
    <w:p w14:paraId="23DA22DA" w14:textId="5C1DB132" w:rsidR="00A701D2" w:rsidRPr="00A6007A" w:rsidRDefault="00A701D2" w:rsidP="00A6007A">
      <w:pPr>
        <w:rPr>
          <w:color w:val="7030A0"/>
          <w:sz w:val="22"/>
        </w:rPr>
      </w:pPr>
      <w:r w:rsidRPr="00AE65BC">
        <w:rPr>
          <w:rStyle w:val="FootnoteReference"/>
          <w:sz w:val="22"/>
        </w:rPr>
        <w:footnoteRef/>
      </w:r>
      <w:r w:rsidRPr="00AE65BC">
        <w:rPr>
          <w:color w:val="7030A0"/>
          <w:sz w:val="22"/>
        </w:rPr>
        <w:t xml:space="preserve"> </w:t>
      </w:r>
      <w:r w:rsidRPr="00AE65BC">
        <w:rPr>
          <w:sz w:val="22"/>
        </w:rPr>
        <w:t>Sara Guyer sees her method of interpreting memorials as a way to “read them, that is, to take account of their assumptions and effects and to analyze how—and whether—they memorialize genocide” (</w:t>
      </w:r>
      <w:r w:rsidRPr="00AE65BC">
        <w:rPr>
          <w:sz w:val="22"/>
        </w:rPr>
        <w:fldChar w:fldCharType="begin"/>
      </w:r>
      <w:r w:rsidR="0059457C">
        <w:rPr>
          <w:sz w:val="22"/>
        </w:rPr>
        <w:instrText xml:space="preserve"> ADDIN ZOTERO_ITEM CSL_CITATION {"citationID":"l7o7wOXV","properties":{"custom":"Guyer, \\uc0\\u8220{}Rwanda\\uc0\\u8217{}s Bones,\\uc0\\u8221{} 162","formattedCitation":"Guyer, \\uc0\\u8220{}Rwanda\\uc0\\u8217{}s Bones,\\uc0\\u8221{} 162","plainCitation":"Guyer, “Rwanda’s Bones,” 162","noteIndex":3},"citationItems":[{"id":1149,"uris":["http://zotero.org/users/3096777/items/WJQRV2NA"],"uri":["http://zotero.org/users/3096777/items/WJQRV2NA"],"itemData":{"id":1149,"type":"article-journal","title":"Rwanda's Bones","container-title":"boundary 2","page":"155-175","volume":"36","issue":"2","source":"read-dukeupress-edu.libproxy.lib.unc.edu","DOI":"10.1215/01903659-2009-009","ISSN":"0190-3659","language":"en","author":[{"family":"Guyer","given":"Sara"}],"issued":{"date-parts":[["2009"]]}},"locator":"162","label":"page"}],"schema":"https://github.com/citation-style-language/schema/raw/master/csl-citation.json"} </w:instrText>
      </w:r>
      <w:r w:rsidRPr="00AE65BC">
        <w:rPr>
          <w:sz w:val="22"/>
        </w:rPr>
        <w:fldChar w:fldCharType="separate"/>
      </w:r>
      <w:r w:rsidRPr="00AE65BC">
        <w:rPr>
          <w:sz w:val="22"/>
        </w:rPr>
        <w:t>Guyer, “Rwanda’s Bones,” 162</w:t>
      </w:r>
      <w:r w:rsidRPr="00AE65BC">
        <w:rPr>
          <w:sz w:val="22"/>
        </w:rPr>
        <w:fldChar w:fldCharType="end"/>
      </w:r>
      <w:r w:rsidRPr="00AE65BC">
        <w:rPr>
          <w:sz w:val="22"/>
        </w:rPr>
        <w:t>).</w:t>
      </w:r>
    </w:p>
  </w:footnote>
  <w:footnote w:id="4">
    <w:p w14:paraId="2E690928" w14:textId="34F9D954" w:rsidR="00A701D2" w:rsidRPr="00AE65BC" w:rsidRDefault="00A701D2" w:rsidP="0096352A">
      <w:pPr>
        <w:pStyle w:val="FootnoteText"/>
        <w:rPr>
          <w:rFonts w:eastAsia="Times New Roman"/>
          <w:sz w:val="22"/>
          <w:szCs w:val="22"/>
        </w:rPr>
      </w:pPr>
      <w:r w:rsidRPr="00AE65BC">
        <w:rPr>
          <w:rStyle w:val="FootnoteReference"/>
          <w:sz w:val="22"/>
          <w:szCs w:val="22"/>
        </w:rPr>
        <w:footnoteRef/>
      </w:r>
      <w:r w:rsidRPr="00AE65BC">
        <w:rPr>
          <w:sz w:val="22"/>
          <w:szCs w:val="22"/>
        </w:rPr>
        <w:t xml:space="preserve"> I want to note that another definitional element of solidarity is whether it is rational, affective, or both. </w:t>
      </w:r>
      <w:r w:rsidRPr="00AE65BC">
        <w:rPr>
          <w:rFonts w:eastAsia="Times New Roman"/>
          <w:sz w:val="22"/>
          <w:szCs w:val="22"/>
        </w:rPr>
        <w:t xml:space="preserve">Others have already pointed to the problem of defining solidarity as either emotional/affective or rational, including Juliet Hooker </w:t>
      </w:r>
      <w:r w:rsidRPr="00AE65BC">
        <w:rPr>
          <w:rFonts w:eastAsia="Times New Roman"/>
          <w:sz w:val="22"/>
          <w:szCs w:val="22"/>
        </w:rPr>
        <w:fldChar w:fldCharType="begin"/>
      </w:r>
      <w:r w:rsidR="0059457C">
        <w:rPr>
          <w:rFonts w:eastAsia="Times New Roman"/>
          <w:sz w:val="22"/>
          <w:szCs w:val="22"/>
        </w:rPr>
        <w:instrText xml:space="preserve"> ADDIN ZOTERO_ITEM CSL_CITATION {"citationID":"Qg1nOLLx","properties":{"formattedCitation":"(2009)","plainCitation":"(2009)","noteIndex":4},"citationItems":[{"id":1201,"uris":["http://zotero.org/users/3096777/items/APRUHULL"],"uri":["http://zotero.org/users/3096777/items/APRUHULL"],"itemData":{"id":1201,"type":"book","title":"Race and the Politics of Solidarity","collection-title":"Transgressing Boundaries","publisher":"Oxford University Press","publisher-place":"Oxford","event-place":"Oxford","author":[{"family":"Hooker","given":"Juliet"}],"issued":{"date-parts":[["2009"]]}},"suppress-author":true}],"schema":"https://github.com/citation-style-language/schema/raw/master/csl-citation.json"} </w:instrText>
      </w:r>
      <w:r w:rsidRPr="00AE65BC">
        <w:rPr>
          <w:rFonts w:eastAsia="Times New Roman"/>
          <w:sz w:val="22"/>
          <w:szCs w:val="22"/>
        </w:rPr>
        <w:fldChar w:fldCharType="separate"/>
      </w:r>
      <w:r w:rsidRPr="00AE65BC">
        <w:rPr>
          <w:rFonts w:eastAsia="Times New Roman"/>
          <w:noProof/>
          <w:sz w:val="22"/>
          <w:szCs w:val="22"/>
        </w:rPr>
        <w:t>(2009)</w:t>
      </w:r>
      <w:r w:rsidRPr="00AE65BC">
        <w:rPr>
          <w:rFonts w:eastAsia="Times New Roman"/>
          <w:sz w:val="22"/>
          <w:szCs w:val="22"/>
        </w:rPr>
        <w:fldChar w:fldCharType="end"/>
      </w:r>
      <w:r w:rsidRPr="00AE65BC">
        <w:rPr>
          <w:rFonts w:eastAsia="Times New Roman"/>
          <w:sz w:val="22"/>
          <w:szCs w:val="22"/>
        </w:rPr>
        <w:t xml:space="preserve"> and Richard Rorty </w:t>
      </w:r>
      <w:r w:rsidRPr="00AE65BC">
        <w:rPr>
          <w:rFonts w:eastAsia="Times New Roman"/>
          <w:sz w:val="22"/>
          <w:szCs w:val="22"/>
        </w:rPr>
        <w:fldChar w:fldCharType="begin"/>
      </w:r>
      <w:r w:rsidR="0059457C">
        <w:rPr>
          <w:rFonts w:eastAsia="Times New Roman"/>
          <w:sz w:val="22"/>
          <w:szCs w:val="22"/>
        </w:rPr>
        <w:instrText xml:space="preserve"> ADDIN ZOTERO_ITEM CSL_CITATION {"citationID":"52RE8Gwp","properties":{"formattedCitation":"(1989)","plainCitation":"(1989)","noteIndex":4},"citationItems":[{"id":174,"uris":["http://zotero.org/users/3096777/items/8RJS5QPS"],"uri":["http://zotero.org/users/3096777/items/8RJS5QPS"],"itemData":{"id":174,"type":"book","title":"Contingency, irony, and solidarity","publisher":"Cambridge University Press","publisher-place":"Cambridge","event-place":"Cambridge","author":[{"family":"Rorty","given":"Richard"}],"issued":{"date-parts":[["1989"]]}},"suppress-author":true}],"schema":"https://github.com/citation-style-language/schema/raw/master/csl-citation.json"} </w:instrText>
      </w:r>
      <w:r w:rsidRPr="00AE65BC">
        <w:rPr>
          <w:rFonts w:eastAsia="Times New Roman"/>
          <w:sz w:val="22"/>
          <w:szCs w:val="22"/>
        </w:rPr>
        <w:fldChar w:fldCharType="separate"/>
      </w:r>
      <w:r w:rsidRPr="00AE65BC">
        <w:rPr>
          <w:rFonts w:eastAsia="Times New Roman"/>
          <w:noProof/>
          <w:sz w:val="22"/>
          <w:szCs w:val="22"/>
        </w:rPr>
        <w:t>(1989)</w:t>
      </w:r>
      <w:r w:rsidRPr="00AE65BC">
        <w:rPr>
          <w:rFonts w:eastAsia="Times New Roman"/>
          <w:sz w:val="22"/>
          <w:szCs w:val="22"/>
        </w:rPr>
        <w:fldChar w:fldCharType="end"/>
      </w:r>
      <w:r w:rsidRPr="00AE65BC">
        <w:rPr>
          <w:rFonts w:eastAsia="Times New Roman"/>
          <w:sz w:val="22"/>
          <w:szCs w:val="22"/>
        </w:rPr>
        <w:t xml:space="preserve">. I do not want to give this question a full treatment here, as I find arguments by democratic theorists like Sharon Krause </w:t>
      </w:r>
      <w:r w:rsidRPr="00AE65BC">
        <w:rPr>
          <w:rFonts w:eastAsia="Times New Roman"/>
          <w:sz w:val="22"/>
          <w:szCs w:val="22"/>
        </w:rPr>
        <w:fldChar w:fldCharType="begin"/>
      </w:r>
      <w:r w:rsidR="0059457C">
        <w:rPr>
          <w:rFonts w:eastAsia="Times New Roman"/>
          <w:sz w:val="22"/>
          <w:szCs w:val="22"/>
        </w:rPr>
        <w:instrText xml:space="preserve"> ADDIN ZOTERO_ITEM CSL_CITATION {"citationID":"TyuWr1Ut","properties":{"formattedCitation":"(2008)","plainCitation":"(2008)","noteIndex":4},"citationItems":[{"id":811,"uris":["http://zotero.org/users/3096777/items/98QXLL5B"],"uri":["http://zotero.org/users/3096777/items/98QXLL5B"],"itemData":{"id":811,"type":"book","title":"Civil Passions: Moral Sentiment and Democratic Deliberation","publisher":"Princeton University Press","publisher-place":"Princeton, NJ","event-place":"Princeton, NJ","author":[{"family":"Krause","given":"Sharon"}],"issued":{"date-parts":[["2008"]]}},"suppress-author":true}],"schema":"https://github.com/citation-style-language/schema/raw/master/csl-citation.json"} </w:instrText>
      </w:r>
      <w:r w:rsidRPr="00AE65BC">
        <w:rPr>
          <w:rFonts w:eastAsia="Times New Roman"/>
          <w:sz w:val="22"/>
          <w:szCs w:val="22"/>
        </w:rPr>
        <w:fldChar w:fldCharType="separate"/>
      </w:r>
      <w:r w:rsidRPr="00AE65BC">
        <w:rPr>
          <w:rFonts w:eastAsia="Times New Roman"/>
          <w:noProof/>
          <w:sz w:val="22"/>
          <w:szCs w:val="22"/>
        </w:rPr>
        <w:t>(2008)</w:t>
      </w:r>
      <w:r w:rsidRPr="00AE65BC">
        <w:rPr>
          <w:rFonts w:eastAsia="Times New Roman"/>
          <w:sz w:val="22"/>
          <w:szCs w:val="22"/>
        </w:rPr>
        <w:fldChar w:fldCharType="end"/>
      </w:r>
      <w:r w:rsidRPr="00AE65BC">
        <w:rPr>
          <w:rFonts w:eastAsia="Times New Roman"/>
          <w:sz w:val="22"/>
          <w:szCs w:val="22"/>
        </w:rPr>
        <w:t xml:space="preserve"> and feminist theorists like </w:t>
      </w:r>
      <w:r>
        <w:rPr>
          <w:rFonts w:eastAsia="Times New Roman"/>
          <w:sz w:val="22"/>
          <w:szCs w:val="22"/>
        </w:rPr>
        <w:t>Sarah Ahmed</w:t>
      </w:r>
      <w:r w:rsidRPr="00AE65BC">
        <w:rPr>
          <w:rFonts w:eastAsia="Times New Roman"/>
          <w:sz w:val="22"/>
          <w:szCs w:val="22"/>
        </w:rPr>
        <w:t xml:space="preserve"> </w:t>
      </w:r>
      <w:r>
        <w:rPr>
          <w:rFonts w:eastAsia="Times New Roman"/>
          <w:sz w:val="22"/>
          <w:szCs w:val="22"/>
        </w:rPr>
        <w:fldChar w:fldCharType="begin"/>
      </w:r>
      <w:r w:rsidR="0059457C">
        <w:rPr>
          <w:rFonts w:eastAsia="Times New Roman"/>
          <w:sz w:val="22"/>
          <w:szCs w:val="22"/>
        </w:rPr>
        <w:instrText xml:space="preserve"> ADDIN ZOTERO_ITEM CSL_CITATION {"citationID":"0aZo6YbR","properties":{"formattedCitation":"(2013)","plainCitation":"(2013)","noteIndex":4},"citationItems":[{"id":1269,"uris":["http://zotero.org/users/3096777/items/NK9T7WEV"],"uri":["http://zotero.org/users/3096777/items/NK9T7WEV"],"itemData":{"id":1269,"type":"book","title":"The Cultural Politics of Emotion","publisher":"Routledge","publisher-place":"New York","number-of-pages":"233","event-place":"New York","abstract":"In The Cultural Politics of the Emotions, Sara Ahmed develops a new methodology for reading \"the emotionality of texts.\" She offers analyses of the role of emotions in debates on international terrorism, asylum and migration, and reconciliation and reparation, and reflects on the role of emotions in feminist and queer politics. Of interest to readers in gender studies and cultural studies, the psychology and sociology of emotions, and phenomenology and psychoanalysis, The Cultural Politics of the Emotions offers new ways of thinking about our inner and our outer lives.--Publisher description.","ISBN":"978-1-135-20575-1","language":"en","author":[{"family":"Ahmed","given":"Sara"}],"issued":{"date-parts":[["2013"]]}},"suppress-author":true}],"schema":"https://github.com/citation-style-language/schema/raw/master/csl-citation.json"} </w:instrText>
      </w:r>
      <w:r>
        <w:rPr>
          <w:rFonts w:eastAsia="Times New Roman"/>
          <w:sz w:val="22"/>
          <w:szCs w:val="22"/>
        </w:rPr>
        <w:fldChar w:fldCharType="separate"/>
      </w:r>
      <w:r>
        <w:rPr>
          <w:rFonts w:eastAsia="Times New Roman"/>
          <w:noProof/>
          <w:sz w:val="22"/>
          <w:szCs w:val="22"/>
        </w:rPr>
        <w:t>(2013)</w:t>
      </w:r>
      <w:r>
        <w:rPr>
          <w:rFonts w:eastAsia="Times New Roman"/>
          <w:sz w:val="22"/>
          <w:szCs w:val="22"/>
        </w:rPr>
        <w:fldChar w:fldCharType="end"/>
      </w:r>
      <w:r>
        <w:rPr>
          <w:rFonts w:eastAsia="Times New Roman"/>
          <w:sz w:val="22"/>
          <w:szCs w:val="22"/>
        </w:rPr>
        <w:t xml:space="preserve"> who complicate the distinction between</w:t>
      </w:r>
      <w:r w:rsidRPr="00AE65BC">
        <w:rPr>
          <w:rFonts w:eastAsia="Times New Roman"/>
          <w:sz w:val="22"/>
          <w:szCs w:val="22"/>
        </w:rPr>
        <w:t xml:space="preserve"> emotion or affect </w:t>
      </w:r>
      <w:r>
        <w:rPr>
          <w:rFonts w:eastAsia="Times New Roman"/>
          <w:sz w:val="22"/>
          <w:szCs w:val="22"/>
        </w:rPr>
        <w:t>and</w:t>
      </w:r>
      <w:r w:rsidRPr="00AE65BC">
        <w:rPr>
          <w:rFonts w:eastAsia="Times New Roman"/>
          <w:sz w:val="22"/>
          <w:szCs w:val="22"/>
        </w:rPr>
        <w:t xml:space="preserve"> reason in political engagement. But it also might be worth showing how even Hannah Arendt, who deliberately separates private emotions from the public sphere, runs into the problem that thinking and feeling are fused. In her explanation of </w:t>
      </w:r>
      <w:r w:rsidRPr="00AE65BC">
        <w:rPr>
          <w:rFonts w:eastAsia="Times New Roman"/>
          <w:i/>
          <w:sz w:val="22"/>
          <w:szCs w:val="22"/>
        </w:rPr>
        <w:t>sensus communis</w:t>
      </w:r>
      <w:r w:rsidRPr="00AE65BC">
        <w:rPr>
          <w:rFonts w:eastAsia="Times New Roman"/>
          <w:sz w:val="22"/>
          <w:szCs w:val="22"/>
        </w:rPr>
        <w:t xml:space="preserve">, she slips between the language of thinking and feeling as the other: “Suppose I look at a specific slum dwelling and I perceive in this particular building the general notion which it does not exhibit directly, the notion of poverty and misery. I arrive at this notion by representing to myself how I would </w:t>
      </w:r>
      <w:r w:rsidRPr="00AE65BC">
        <w:rPr>
          <w:rFonts w:eastAsia="Times New Roman"/>
          <w:i/>
          <w:sz w:val="22"/>
          <w:szCs w:val="22"/>
        </w:rPr>
        <w:t>feel</w:t>
      </w:r>
      <w:r w:rsidRPr="00AE65BC">
        <w:rPr>
          <w:rFonts w:eastAsia="Times New Roman"/>
          <w:sz w:val="22"/>
          <w:szCs w:val="22"/>
        </w:rPr>
        <w:t xml:space="preserve"> if I had to live there, that is, I try to </w:t>
      </w:r>
      <w:r w:rsidRPr="00AE65BC">
        <w:rPr>
          <w:rFonts w:eastAsia="Times New Roman"/>
          <w:i/>
          <w:sz w:val="22"/>
          <w:szCs w:val="22"/>
        </w:rPr>
        <w:t>think</w:t>
      </w:r>
      <w:r w:rsidRPr="00AE65BC">
        <w:rPr>
          <w:rFonts w:eastAsia="Times New Roman"/>
          <w:sz w:val="22"/>
          <w:szCs w:val="22"/>
        </w:rPr>
        <w:t xml:space="preserve"> in the place of the slum-dweller… while I take into account others while judging, this does not mean that I conform in my judgment to their’s [</w:t>
      </w:r>
      <w:r w:rsidRPr="00AE65BC">
        <w:rPr>
          <w:rFonts w:eastAsia="Times New Roman"/>
          <w:i/>
          <w:sz w:val="22"/>
          <w:szCs w:val="22"/>
        </w:rPr>
        <w:t>sic</w:t>
      </w:r>
      <w:r w:rsidRPr="00AE65BC">
        <w:rPr>
          <w:rFonts w:eastAsia="Times New Roman"/>
          <w:sz w:val="22"/>
          <w:szCs w:val="22"/>
        </w:rPr>
        <w:t xml:space="preserve">]” </w:t>
      </w:r>
      <w:r w:rsidRPr="00AE65BC">
        <w:rPr>
          <w:rFonts w:eastAsia="Times New Roman"/>
          <w:sz w:val="22"/>
          <w:szCs w:val="22"/>
        </w:rPr>
        <w:fldChar w:fldCharType="begin"/>
      </w:r>
      <w:r w:rsidR="0059457C">
        <w:rPr>
          <w:rFonts w:eastAsia="Times New Roman"/>
          <w:sz w:val="22"/>
          <w:szCs w:val="22"/>
        </w:rPr>
        <w:instrText xml:space="preserve"> ADDIN ZOTERO_ITEM CSL_CITATION {"citationID":"sRDVa7fe","properties":{"formattedCitation":"(Arendt 1966, 140\\uc0\\u8211{}41, emphasis added)","plainCitation":"(Arendt 1966, 140–41, emphasis added)","noteIndex":4},"citationItems":[{"id":276,"uris":["http://zotero.org/users/3096777/items/UNSHLL4B"],"uri":["http://zotero.org/users/3096777/items/UNSHLL4B"],"itemData":{"id":276,"type":"chapter","title":"Some Questions of Moral Philosophy","container-title":"Responsibility and Judgment","publisher":"Random House","publisher-place":"New York","page":"49-146","event-place":"New York","author":[{"family":"Arendt","given":"Hannah"}],"editor":[{"family":"Jerome Kohn","given":""}],"issued":{"date-parts":[["1966"]]}},"locator":"140-141","suffix":", emphasis added"}],"schema":"https://github.com/citation-style-language/schema/raw/master/csl-citation.json"} </w:instrText>
      </w:r>
      <w:r w:rsidRPr="00AE65BC">
        <w:rPr>
          <w:rFonts w:eastAsia="Times New Roman"/>
          <w:sz w:val="22"/>
          <w:szCs w:val="22"/>
        </w:rPr>
        <w:fldChar w:fldCharType="separate"/>
      </w:r>
      <w:r w:rsidRPr="00AE65BC">
        <w:rPr>
          <w:sz w:val="22"/>
          <w:szCs w:val="22"/>
        </w:rPr>
        <w:t>(Arendt 1966, 140–41, emphasis added)</w:t>
      </w:r>
      <w:r w:rsidRPr="00AE65BC">
        <w:rPr>
          <w:rFonts w:eastAsia="Times New Roman"/>
          <w:sz w:val="22"/>
          <w:szCs w:val="22"/>
        </w:rPr>
        <w:fldChar w:fldCharType="end"/>
      </w:r>
      <w:r w:rsidRPr="00AE65BC">
        <w:rPr>
          <w:rFonts w:eastAsia="Times New Roman"/>
          <w:sz w:val="22"/>
          <w:szCs w:val="22"/>
        </w:rPr>
        <w:t xml:space="preserve">. Despite saying, </w:t>
      </w:r>
      <w:r w:rsidRPr="00AE65BC">
        <w:rPr>
          <w:sz w:val="22"/>
          <w:szCs w:val="22"/>
        </w:rPr>
        <w:t>“[g]enerally speaking, the role of the ‘heart’ in politics seems to me altogether questionable</w:t>
      </w:r>
      <w:r w:rsidRPr="00AE65BC">
        <w:rPr>
          <w:sz w:val="22"/>
          <w:szCs w:val="22"/>
        </w:rPr>
        <w:fldChar w:fldCharType="begin">
          <w:fldData xml:space="preserve">PEVuZE5vdGU+PENpdGU+PEF1dGhvcj5BcmVuZHQ8L0F1dGhvcj48WWVhcj4xOTUxPC9ZZWFyPjxS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</w:fldData>
        </w:fldChar>
      </w:r>
      <w:r w:rsidRPr="00AE65BC">
        <w:rPr>
          <w:sz w:val="22"/>
          <w:szCs w:val="22"/>
        </w:rPr>
        <w:instrText xml:space="preserve"> ADDIN EN.CITE </w:instrText>
      </w:r>
      <w:r w:rsidRPr="00AE65BC">
        <w:rPr>
          <w:sz w:val="22"/>
          <w:szCs w:val="22"/>
        </w:rPr>
        <w:fldChar w:fldCharType="begin">
          <w:fldData xml:space="preserve">PEVuZE5vdGU+PENpdGU+PEF1dGhvcj5BcmVuZHQ8L0F1dGhvcj48WWVhcj4xOTUxPC9ZZWFyPjxS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</w:fldData>
        </w:fldChar>
      </w:r>
      <w:r w:rsidRPr="00AE65BC">
        <w:rPr>
          <w:sz w:val="22"/>
          <w:szCs w:val="22"/>
        </w:rPr>
        <w:instrText xml:space="preserve"> ADDIN EN.CITE.DATA </w:instrText>
      </w:r>
      <w:r w:rsidRPr="00AE65BC">
        <w:rPr>
          <w:sz w:val="22"/>
          <w:szCs w:val="22"/>
        </w:rPr>
      </w:r>
      <w:r w:rsidRPr="00AE65BC">
        <w:rPr>
          <w:sz w:val="22"/>
          <w:szCs w:val="22"/>
        </w:rPr>
        <w:fldChar w:fldCharType="end"/>
      </w:r>
      <w:r w:rsidRPr="00AE65BC">
        <w:rPr>
          <w:sz w:val="22"/>
          <w:szCs w:val="22"/>
        </w:rPr>
      </w:r>
      <w:r w:rsidRPr="00AE65BC">
        <w:rPr>
          <w:sz w:val="22"/>
          <w:szCs w:val="22"/>
        </w:rPr>
        <w:fldChar w:fldCharType="end"/>
      </w:r>
      <w:r w:rsidRPr="00AE65BC">
        <w:rPr>
          <w:sz w:val="22"/>
          <w:szCs w:val="22"/>
        </w:rPr>
        <w:fldChar w:fldCharType="begin">
          <w:fldData xml:space="preserve">PEVuZE5vdGU+PENpdGU+PEF1dGhvcj5BcmVuZHQ8L0F1dGhvcj48WWVhcj4xOTUxPC9ZZWFyPjxS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</w:fldData>
        </w:fldChar>
      </w:r>
      <w:r w:rsidRPr="00AE65BC">
        <w:rPr>
          <w:sz w:val="22"/>
          <w:szCs w:val="22"/>
        </w:rPr>
        <w:instrText xml:space="preserve"> ADDIN EN.CITE </w:instrText>
      </w:r>
      <w:r w:rsidRPr="00AE65BC">
        <w:rPr>
          <w:sz w:val="22"/>
          <w:szCs w:val="22"/>
        </w:rPr>
        <w:fldChar w:fldCharType="begin">
          <w:fldData xml:space="preserve">PEVuZE5vdGU+PENpdGU+PEF1dGhvcj5BcmVuZHQ8L0F1dGhvcj48WWVhcj4xOTUxPC9ZZWFyPjxS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</w:fldData>
        </w:fldChar>
      </w:r>
      <w:r w:rsidRPr="00AE65BC">
        <w:rPr>
          <w:sz w:val="22"/>
          <w:szCs w:val="22"/>
        </w:rPr>
        <w:instrText xml:space="preserve"> ADDIN EN.CITE.DATA </w:instrText>
      </w:r>
      <w:r w:rsidRPr="00AE65BC">
        <w:rPr>
          <w:sz w:val="22"/>
          <w:szCs w:val="22"/>
        </w:rPr>
      </w:r>
      <w:r w:rsidRPr="00AE65BC">
        <w:rPr>
          <w:sz w:val="22"/>
          <w:szCs w:val="22"/>
        </w:rPr>
        <w:fldChar w:fldCharType="end"/>
      </w:r>
      <w:r w:rsidRPr="00AE65BC">
        <w:rPr>
          <w:sz w:val="22"/>
          <w:szCs w:val="22"/>
        </w:rPr>
      </w:r>
      <w:r w:rsidRPr="00AE65BC">
        <w:rPr>
          <w:sz w:val="22"/>
          <w:szCs w:val="22"/>
        </w:rPr>
        <w:fldChar w:fldCharType="end"/>
      </w:r>
      <w:r w:rsidRPr="00AE65BC">
        <w:rPr>
          <w:sz w:val="22"/>
          <w:szCs w:val="22"/>
        </w:rPr>
        <w:t xml:space="preserve">” </w:t>
      </w:r>
      <w:r w:rsidRPr="00AE65BC">
        <w:rPr>
          <w:sz w:val="22"/>
          <w:szCs w:val="22"/>
        </w:rPr>
        <w:fldChar w:fldCharType="begin"/>
      </w:r>
      <w:r w:rsidR="0059457C">
        <w:rPr>
          <w:sz w:val="22"/>
          <w:szCs w:val="22"/>
        </w:rPr>
        <w:instrText xml:space="preserve"> ADDIN ZOTERO_ITEM CSL_CITATION {"citationID":"XeX1pSyI","properties":{"formattedCitation":"(Hannah Arendt 1963, 54)","plainCitation":"(Hannah Arendt 1963, 54)","noteIndex":4},"citationItems":[{"id":272,"uris":["http://zotero.org/users/3096777/items/V8GKE5QV"],"uri":["http://zotero.org/users/3096777/items/V8GKE5QV"],"itemData":{"id":272,"type":"article-magazine","title":"Eichmann in Jerusalem - An Exchange of Letters between Gershom Scholem and Hannah Arendt","container-title":"Encounter","page":"53-56","volume":"XXII","author":[{"family":"Hannah Arendt","given":""}],"issued":{"date-parts":[["1963",7,24]]}},"locator":"54"}],"schema":"https://github.com/citation-style-language/schema/raw/master/csl-citation.json"} </w:instrText>
      </w:r>
      <w:r w:rsidRPr="00AE65BC">
        <w:rPr>
          <w:sz w:val="22"/>
          <w:szCs w:val="22"/>
        </w:rPr>
        <w:fldChar w:fldCharType="separate"/>
      </w:r>
      <w:r w:rsidRPr="00AE65BC">
        <w:rPr>
          <w:noProof/>
          <w:sz w:val="22"/>
          <w:szCs w:val="22"/>
        </w:rPr>
        <w:t>(Hannah Arendt 1963, 54)</w:t>
      </w:r>
      <w:r w:rsidRPr="00AE65BC">
        <w:rPr>
          <w:sz w:val="22"/>
          <w:szCs w:val="22"/>
        </w:rPr>
        <w:fldChar w:fldCharType="end"/>
      </w:r>
      <w:r w:rsidRPr="00AE65BC">
        <w:rPr>
          <w:sz w:val="22"/>
          <w:szCs w:val="22"/>
        </w:rPr>
        <w:t xml:space="preserve">, Arendt herself is unable to fully disentangle emotions and reason, public and private. </w:t>
      </w:r>
    </w:p>
    <w:p w14:paraId="15CE824A" w14:textId="77777777" w:rsidR="00A701D2" w:rsidRPr="00AE65BC" w:rsidRDefault="00A701D2" w:rsidP="00986681">
      <w:pPr>
        <w:pStyle w:val="FootnoteText"/>
        <w:rPr>
          <w:rFonts w:eastAsia="Times New Roman"/>
          <w:sz w:val="22"/>
          <w:szCs w:val="22"/>
        </w:rPr>
      </w:pPr>
    </w:p>
  </w:footnote>
  <w:footnote w:id="5">
    <w:p w14:paraId="5B758DEE" w14:textId="77777777" w:rsidR="00780EE4" w:rsidRPr="009D361A" w:rsidRDefault="00780EE4" w:rsidP="00780EE4">
      <w:pPr>
        <w:pStyle w:val="CommentText"/>
        <w:rPr>
          <w:sz w:val="20"/>
          <w:szCs w:val="20"/>
        </w:rPr>
      </w:pPr>
      <w:r w:rsidRPr="009D361A">
        <w:rPr>
          <w:rStyle w:val="FootnoteReference"/>
          <w:sz w:val="20"/>
          <w:szCs w:val="20"/>
        </w:rPr>
        <w:footnoteRef/>
      </w:r>
      <w:r w:rsidRPr="009D361A">
        <w:rPr>
          <w:sz w:val="20"/>
          <w:szCs w:val="20"/>
        </w:rPr>
        <w:t xml:space="preserve"> Young’s theory is not only national or local, however. She also notes that not the scope of solidarity, but the says not the scope of solidarity but “</w:t>
      </w:r>
      <w:r w:rsidRPr="009D361A">
        <w:rPr>
          <w:rFonts w:eastAsia="Times New Roman"/>
          <w:color w:val="auto"/>
          <w:sz w:val="20"/>
          <w:szCs w:val="20"/>
        </w:rPr>
        <w:t>scope of obligations of justice is global” (224).</w:t>
      </w:r>
    </w:p>
  </w:footnote>
  <w:footnote w:id="6">
    <w:p w14:paraId="47D2BAC1" w14:textId="4774F9FA" w:rsidR="00780EE4" w:rsidRPr="00AE65BC" w:rsidRDefault="00780EE4" w:rsidP="00780EE4">
      <w:pPr>
        <w:pStyle w:val="FootnoteText"/>
        <w:rPr>
          <w:sz w:val="22"/>
          <w:szCs w:val="22"/>
        </w:rPr>
      </w:pPr>
      <w:r w:rsidRPr="00AE65BC">
        <w:rPr>
          <w:rStyle w:val="FootnoteReference"/>
          <w:sz w:val="22"/>
          <w:szCs w:val="22"/>
        </w:rPr>
        <w:footnoteRef/>
      </w:r>
      <w:r w:rsidRPr="00AE65BC">
        <w:rPr>
          <w:sz w:val="22"/>
          <w:szCs w:val="22"/>
        </w:rPr>
        <w:t xml:space="preserve"> </w:t>
      </w:r>
      <w:r w:rsidRPr="00AE65BC">
        <w:rPr>
          <w:rFonts w:eastAsia="Times New Roman"/>
          <w:sz w:val="22"/>
          <w:szCs w:val="22"/>
        </w:rPr>
        <w:t xml:space="preserve">And in fact Rorty allows that solidarity-as-commonality may be useful as an ideal theory, a </w:t>
      </w:r>
      <w:r w:rsidRPr="00AE65BC">
        <w:rPr>
          <w:rFonts w:eastAsia="Times New Roman"/>
          <w:i/>
          <w:sz w:val="22"/>
          <w:szCs w:val="22"/>
        </w:rPr>
        <w:t>focus imaginarius</w:t>
      </w:r>
      <w:r w:rsidRPr="00AE65BC">
        <w:rPr>
          <w:rFonts w:eastAsia="Times New Roman"/>
          <w:sz w:val="22"/>
          <w:szCs w:val="22"/>
        </w:rPr>
        <w:t xml:space="preserve"> toward which it can be good to strive </w:t>
      </w:r>
      <w:r w:rsidRPr="00AE65BC">
        <w:rPr>
          <w:rFonts w:eastAsia="Times New Roman"/>
          <w:sz w:val="22"/>
          <w:szCs w:val="22"/>
        </w:rPr>
        <w:fldChar w:fldCharType="begin"/>
      </w:r>
      <w:r w:rsidR="0059457C">
        <w:rPr>
          <w:rFonts w:eastAsia="Times New Roman"/>
          <w:sz w:val="22"/>
          <w:szCs w:val="22"/>
        </w:rPr>
        <w:instrText xml:space="preserve"> ADDIN ZOTERO_ITEM CSL_CITATION {"citationID":"uSi6Wbq7","properties":{"formattedCitation":"(Rorty 1989, 196)","plainCitation":"(Rorty 1989, 196)","noteIndex":6},"citationItems":[{"id":174,"uris":["http://zotero.org/users/3096777/items/8RJS5QPS"],"uri":["http://zotero.org/users/3096777/items/8RJS5QPS"],"itemData":{"id":174,"type":"book","title":"Contingency, irony, and solidarity","publisher":"Cambridge University Press","publisher-place":"Cambridge","event-place":"Cambridge","author":[{"family":"Rorty","given":"Richard"}],"issued":{"date-parts":[["1989"]]}},"locator":"196"}],"schema":"https://github.com/citation-style-language/schema/raw/master/csl-citation.json"} </w:instrText>
      </w:r>
      <w:r w:rsidRPr="00AE65BC">
        <w:rPr>
          <w:rFonts w:eastAsia="Times New Roman"/>
          <w:sz w:val="22"/>
          <w:szCs w:val="22"/>
        </w:rPr>
        <w:fldChar w:fldCharType="separate"/>
      </w:r>
      <w:r w:rsidRPr="00AE65BC">
        <w:rPr>
          <w:rFonts w:eastAsia="Times New Roman"/>
          <w:noProof/>
          <w:sz w:val="22"/>
          <w:szCs w:val="22"/>
        </w:rPr>
        <w:t>(Rorty 1989, 196)</w:t>
      </w:r>
      <w:r w:rsidRPr="00AE65BC">
        <w:rPr>
          <w:rFonts w:eastAsia="Times New Roman"/>
          <w:sz w:val="22"/>
          <w:szCs w:val="22"/>
        </w:rPr>
        <w:fldChar w:fldCharType="end"/>
      </w:r>
      <w:r w:rsidRPr="00AE65BC">
        <w:rPr>
          <w:rFonts w:eastAsia="Times New Roman"/>
          <w:sz w:val="22"/>
          <w:szCs w:val="22"/>
        </w:rPr>
        <w:t>. But as real theory, this framework is not viable.</w:t>
      </w:r>
    </w:p>
  </w:footnote>
  <w:footnote w:id="7">
    <w:p w14:paraId="49D106F1" w14:textId="77777777" w:rsidR="007110F7" w:rsidRPr="00AE65BC" w:rsidRDefault="007110F7" w:rsidP="007110F7">
      <w:pPr>
        <w:pStyle w:val="FootnoteText"/>
        <w:rPr>
          <w:sz w:val="22"/>
          <w:szCs w:val="22"/>
        </w:rPr>
      </w:pPr>
      <w:r w:rsidRPr="00AE65BC">
        <w:rPr>
          <w:rStyle w:val="FootnoteReference"/>
          <w:sz w:val="22"/>
          <w:szCs w:val="22"/>
        </w:rPr>
        <w:footnoteRef/>
      </w:r>
      <w:r w:rsidRPr="00AE65BC">
        <w:rPr>
          <w:sz w:val="22"/>
          <w:szCs w:val="22"/>
        </w:rPr>
        <w:t xml:space="preserve"> </w:t>
      </w:r>
      <w:r w:rsidRPr="00F4388A">
        <w:t>Hannah Arendt does not fully articulate a theory of solidarity</w:t>
      </w:r>
      <w:r>
        <w:t xml:space="preserve">, but she approaches it through her theory of </w:t>
      </w:r>
      <w:r>
        <w:rPr>
          <w:i/>
        </w:rPr>
        <w:t>sensus communis</w:t>
      </w:r>
      <w:r>
        <w:t>.</w:t>
      </w:r>
      <w:r w:rsidRPr="00AE65BC">
        <w:rPr>
          <w:sz w:val="22"/>
          <w:szCs w:val="22"/>
        </w:rPr>
        <w:t xml:space="preserve"> In fact, she does not use the language of solidarity much in her work at all – but I think these concepts bear a significant similarity to what I discuss here as solidarity.</w:t>
      </w:r>
    </w:p>
  </w:footnote>
  <w:footnote w:id="8">
    <w:p w14:paraId="73042097" w14:textId="25B46980" w:rsidR="007110F7" w:rsidRDefault="007110F7" w:rsidP="007110F7">
      <w:pPr>
        <w:pStyle w:val="FootnoteText"/>
      </w:pPr>
      <w:r>
        <w:rPr>
          <w:rStyle w:val="FootnoteReference"/>
        </w:rPr>
        <w:footnoteRef/>
      </w:r>
      <w:r>
        <w:t xml:space="preserve"> </w:t>
      </w:r>
      <w:r>
        <w:rPr>
          <w:rFonts w:eastAsia="Times New Roman"/>
        </w:rPr>
        <w:t xml:space="preserve">Just as </w:t>
      </w:r>
      <w:r>
        <w:rPr>
          <w:rFonts w:eastAsia="Times New Roman"/>
          <w:i/>
        </w:rPr>
        <w:t xml:space="preserve">sensus communis </w:t>
      </w:r>
      <w:r>
        <w:rPr>
          <w:rFonts w:eastAsia="Times New Roman"/>
        </w:rPr>
        <w:t xml:space="preserve">is tied up with plurality, </w:t>
      </w:r>
      <w:r>
        <w:t>a</w:t>
      </w:r>
      <w:r w:rsidRPr="00271991">
        <w:t>ction is</w:t>
      </w:r>
      <w:r>
        <w:t xml:space="preserve"> too. Action in the public sphere can cultivate a good</w:t>
      </w:r>
      <w:r w:rsidRPr="00271991">
        <w:t xml:space="preserve"> public life because it “corresponds to the human condition of plurality, to the fact that men, not Man, live on the earth and inhabit the world</w:t>
      </w:r>
      <w:r>
        <w:t xml:space="preserve">” </w:t>
      </w:r>
      <w:r>
        <w:fldChar w:fldCharType="begin"/>
      </w:r>
      <w:r w:rsidR="0059457C">
        <w:instrText xml:space="preserve"> ADDIN ZOTERO_ITEM CSL_CITATION {"citationID":"24jUcOlz","properties":{"formattedCitation":"(Arendt 1998, 7)","plainCitation":"(Arendt 1998, 7)","noteIndex":8},"citationItems":[{"id":261,"uris":["http://zotero.org/users/3096777/items/3G2ANZN9"],"uri":["http://zotero.org/users/3096777/items/3G2ANZN9"],"itemData":{"id":261,"type":"book","title":"The Human Condition","publisher":"University of Chicago Press","publisher-place":"Chicago","edition":"2nd","event-place":"Chicago","author":[{"family":"Arendt","given":"Hannah"}],"issued":{"date-parts":[["1998"]]}},"locator":"7"}],"schema":"https://github.com/citation-style-language/schema/raw/master/csl-citation.json"} </w:instrText>
      </w:r>
      <w:r>
        <w:fldChar w:fldCharType="separate"/>
      </w:r>
      <w:r>
        <w:rPr>
          <w:noProof/>
        </w:rPr>
        <w:t>(Arendt 1998, 7)</w:t>
      </w:r>
      <w:r>
        <w:fldChar w:fldCharType="end"/>
      </w:r>
      <w:r>
        <w:t xml:space="preserve">. </w:t>
      </w:r>
      <w:r>
        <w:rPr>
          <w:rFonts w:eastAsia="Times New Roman"/>
        </w:rPr>
        <w:t xml:space="preserve"> </w:t>
      </w:r>
    </w:p>
  </w:footnote>
  <w:footnote w:id="9">
    <w:p w14:paraId="1C44ED9D" w14:textId="77777777" w:rsidR="00ED76E1" w:rsidRPr="00157E01" w:rsidRDefault="00ED76E1" w:rsidP="00ED76E1">
      <w:pPr>
        <w:pStyle w:val="FootnoteText"/>
      </w:pPr>
      <w:r w:rsidRPr="00157E01">
        <w:rPr>
          <w:rStyle w:val="FootnoteReference"/>
        </w:rPr>
        <w:footnoteRef/>
      </w:r>
      <w:r w:rsidRPr="00157E01">
        <w:t xml:space="preserve"> </w:t>
      </w:r>
      <w:r w:rsidRPr="00157E01">
        <w:rPr>
          <w:szCs w:val="24"/>
        </w:rPr>
        <w:t>Aboriginal Australian peoples (of the Australian continent) and Indigenous inhabitants of the Torres Strait Islands together comprise a group that is today often referred to as Indigenous Australians.</w:t>
      </w:r>
    </w:p>
  </w:footnote>
  <w:footnote w:id="10">
    <w:p w14:paraId="39CF373E" w14:textId="4AACF60E" w:rsidR="00A701D2" w:rsidRPr="00AE65BC" w:rsidRDefault="00A701D2" w:rsidP="00AE65BC">
      <w:pPr>
        <w:rPr>
          <w:sz w:val="22"/>
        </w:rPr>
      </w:pPr>
      <w:r w:rsidRPr="00AE65BC">
        <w:rPr>
          <w:rStyle w:val="FootnoteReference"/>
          <w:sz w:val="22"/>
        </w:rPr>
        <w:footnoteRef/>
      </w:r>
      <w:r w:rsidRPr="00AE65BC">
        <w:rPr>
          <w:sz w:val="22"/>
        </w:rPr>
        <w:t xml:space="preserve"> The plaque at the final boulder reads, “In memory of the Wirrayaraay people who were murdered on the slopes of this ridge in an unprovoked but premeditated act in the late afternoon of 10 June, 1838. Erected on 10 June 2000 by a group of Aboriginal and non-Aboriginal Australians in an act of reconciliation, and in acknowledgement of the truth of our shared history. We remember them. Ngiyani winangay ganunga.”</w:t>
      </w:r>
    </w:p>
  </w:footnote>
  <w:footnote w:id="11">
    <w:p w14:paraId="027437AA" w14:textId="007A8AF8" w:rsidR="00A701D2" w:rsidRPr="00AE65BC" w:rsidRDefault="00A701D2" w:rsidP="00AF5968">
      <w:pPr>
        <w:pStyle w:val="FootnoteText"/>
        <w:rPr>
          <w:sz w:val="22"/>
          <w:szCs w:val="22"/>
        </w:rPr>
      </w:pPr>
      <w:r w:rsidRPr="00AE65BC">
        <w:rPr>
          <w:rStyle w:val="FootnoteReference"/>
          <w:sz w:val="22"/>
          <w:szCs w:val="22"/>
        </w:rPr>
        <w:footnoteRef/>
      </w:r>
      <w:r w:rsidRPr="00AE65BC">
        <w:rPr>
          <w:sz w:val="22"/>
          <w:szCs w:val="22"/>
        </w:rPr>
        <w:t xml:space="preserve"> For example, the Aunty Ida West Healing Garden and Memorial Gate in Tasmania does not include markings that explain its historical connection to the local Palawa community and Ida West’s successful campaign to return the Wybalenna historical site in Tasmania to the Palawa people. This might indicate that the site is not meant to be a tourist destination or educational resource for a wider audience, but rather a site of reflection for the Palawa people </w:t>
      </w:r>
      <w:r w:rsidRPr="00AE65BC">
        <w:rPr>
          <w:sz w:val="22"/>
          <w:szCs w:val="22"/>
        </w:rPr>
        <w:fldChar w:fldCharType="begin"/>
      </w:r>
      <w:r w:rsidR="0059457C">
        <w:rPr>
          <w:sz w:val="22"/>
          <w:szCs w:val="22"/>
        </w:rPr>
        <w:instrText xml:space="preserve"> ADDIN ZOTERO_ITEM CSL_CITATION {"citationID":"glS5ZZWs","properties":{"formattedCitation":"(Batten and Batten 2008, 109\\uc0\\u8211{}10)","plainCitation":"(Batten and Batten 2008, 109–10)","noteIndex":11},"citationItems":[{"id":1216,"uris":["http://zotero.org/users/3096777/items/FIB2PFCG"],"uri":["http://zotero.org/users/3096777/items/FIB2PFCG"],"itemData":{"id":1216,"type":"article-journal","title":"Memorialising the Past: Is there an Aboriginal Way?","container-title":"Public History Review","page":"92-116","volume":"15","author":[{"family":"Batten","given":"Bronwyn"},{"family":"Batten","given":"Paul"}],"issued":{"date-parts":[["2008"]]}},"locator":"109-110"}],"schema":"https://github.com/citation-style-language/schema/raw/master/csl-citation.json"} </w:instrText>
      </w:r>
      <w:r w:rsidRPr="00AE65BC">
        <w:rPr>
          <w:sz w:val="22"/>
          <w:szCs w:val="22"/>
        </w:rPr>
        <w:fldChar w:fldCharType="separate"/>
      </w:r>
      <w:r w:rsidRPr="00AE65BC">
        <w:rPr>
          <w:color w:val="000000"/>
          <w:sz w:val="22"/>
          <w:szCs w:val="22"/>
        </w:rPr>
        <w:t>(Batten and Batten 2008, 109–10)</w:t>
      </w:r>
      <w:r w:rsidRPr="00AE65BC">
        <w:rPr>
          <w:sz w:val="22"/>
          <w:szCs w:val="22"/>
        </w:rPr>
        <w:fldChar w:fldCharType="end"/>
      </w:r>
      <w:r w:rsidRPr="00AE65BC">
        <w:rPr>
          <w:sz w:val="22"/>
          <w:szCs w:val="22"/>
        </w:rPr>
        <w:t>. Another such sites that is difficult to find or that are located in Aboriginal neighborhoods or far from tourist attractions is the public artwork “Remember Me” (a monument to the Stolen Generations in the Atherton Gardens public housing project in Melbourne), by Reko Rennie.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F68CF"/>
    <w:multiLevelType w:val="hybridMultilevel"/>
    <w:tmpl w:val="38EA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45AEA"/>
    <w:multiLevelType w:val="hybridMultilevel"/>
    <w:tmpl w:val="F61AE8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856914"/>
    <w:multiLevelType w:val="hybridMultilevel"/>
    <w:tmpl w:val="D4F0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45F08"/>
    <w:multiLevelType w:val="hybridMultilevel"/>
    <w:tmpl w:val="DFE8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A0EE8"/>
    <w:multiLevelType w:val="hybridMultilevel"/>
    <w:tmpl w:val="784A3F88"/>
    <w:lvl w:ilvl="0" w:tplc="AF12DACC">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F74BB"/>
    <w:multiLevelType w:val="hybridMultilevel"/>
    <w:tmpl w:val="0DEA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C25D8"/>
    <w:multiLevelType w:val="hybridMultilevel"/>
    <w:tmpl w:val="2348062E"/>
    <w:lvl w:ilvl="0" w:tplc="72045CCA">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04800"/>
    <w:multiLevelType w:val="hybridMultilevel"/>
    <w:tmpl w:val="8F14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251C7"/>
    <w:multiLevelType w:val="hybridMultilevel"/>
    <w:tmpl w:val="F904D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EB3D23"/>
    <w:multiLevelType w:val="hybridMultilevel"/>
    <w:tmpl w:val="6A32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53F15"/>
    <w:multiLevelType w:val="hybridMultilevel"/>
    <w:tmpl w:val="0F06A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6588F"/>
    <w:multiLevelType w:val="hybridMultilevel"/>
    <w:tmpl w:val="7F3EE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348F1"/>
    <w:multiLevelType w:val="hybridMultilevel"/>
    <w:tmpl w:val="0820F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96C54"/>
    <w:multiLevelType w:val="hybridMultilevel"/>
    <w:tmpl w:val="25127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246A4"/>
    <w:multiLevelType w:val="hybridMultilevel"/>
    <w:tmpl w:val="8896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A20CC"/>
    <w:multiLevelType w:val="hybridMultilevel"/>
    <w:tmpl w:val="D504B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5C56EC"/>
    <w:multiLevelType w:val="hybridMultilevel"/>
    <w:tmpl w:val="FE2477EA"/>
    <w:lvl w:ilvl="0" w:tplc="7FCE9D02">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0211C49"/>
    <w:multiLevelType w:val="hybridMultilevel"/>
    <w:tmpl w:val="8EC83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1F48D6"/>
    <w:multiLevelType w:val="multilevel"/>
    <w:tmpl w:val="1C0E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C82573"/>
    <w:multiLevelType w:val="hybridMultilevel"/>
    <w:tmpl w:val="EFC0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E5FA5"/>
    <w:multiLevelType w:val="hybridMultilevel"/>
    <w:tmpl w:val="2A5A1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D0733"/>
    <w:multiLevelType w:val="hybridMultilevel"/>
    <w:tmpl w:val="9B0C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9D4C39"/>
    <w:multiLevelType w:val="multilevel"/>
    <w:tmpl w:val="1C0E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0C5A73"/>
    <w:multiLevelType w:val="multilevel"/>
    <w:tmpl w:val="688C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2"/>
  </w:num>
  <w:num w:numId="4">
    <w:abstractNumId w:val="18"/>
  </w:num>
  <w:num w:numId="5">
    <w:abstractNumId w:val="6"/>
  </w:num>
  <w:num w:numId="6">
    <w:abstractNumId w:val="19"/>
  </w:num>
  <w:num w:numId="7">
    <w:abstractNumId w:val="9"/>
  </w:num>
  <w:num w:numId="8">
    <w:abstractNumId w:val="23"/>
  </w:num>
  <w:num w:numId="9">
    <w:abstractNumId w:val="11"/>
  </w:num>
  <w:num w:numId="10">
    <w:abstractNumId w:val="21"/>
  </w:num>
  <w:num w:numId="11">
    <w:abstractNumId w:val="16"/>
  </w:num>
  <w:num w:numId="12">
    <w:abstractNumId w:val="13"/>
  </w:num>
  <w:num w:numId="13">
    <w:abstractNumId w:val="4"/>
  </w:num>
  <w:num w:numId="14">
    <w:abstractNumId w:val="15"/>
  </w:num>
  <w:num w:numId="15">
    <w:abstractNumId w:val="10"/>
  </w:num>
  <w:num w:numId="16">
    <w:abstractNumId w:val="22"/>
  </w:num>
  <w:num w:numId="17">
    <w:abstractNumId w:val="3"/>
  </w:num>
  <w:num w:numId="18">
    <w:abstractNumId w:val="20"/>
  </w:num>
  <w:num w:numId="19">
    <w:abstractNumId w:val="0"/>
  </w:num>
  <w:num w:numId="20">
    <w:abstractNumId w:val="14"/>
  </w:num>
  <w:num w:numId="21">
    <w:abstractNumId w:val="7"/>
  </w:num>
  <w:num w:numId="22">
    <w:abstractNumId w:val="24"/>
  </w:num>
  <w:num w:numId="23">
    <w:abstractNumId w:val="1"/>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4096"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C3FD856-01F5-4FEA-9BF2-8D2679FEF5C5}"/>
    <w:docVar w:name="dgnword-eventsink" w:val="320846128"/>
    <w:docVar w:name="dgnword-lastRevisionsView" w:val="0"/>
  </w:docVars>
  <w:rsids>
    <w:rsidRoot w:val="006339C0"/>
    <w:rsid w:val="00002599"/>
    <w:rsid w:val="0001004C"/>
    <w:rsid w:val="000112CB"/>
    <w:rsid w:val="000116E1"/>
    <w:rsid w:val="000147A0"/>
    <w:rsid w:val="00020DAE"/>
    <w:rsid w:val="00022C46"/>
    <w:rsid w:val="00022E3E"/>
    <w:rsid w:val="00025503"/>
    <w:rsid w:val="00025C25"/>
    <w:rsid w:val="0002707C"/>
    <w:rsid w:val="000270AF"/>
    <w:rsid w:val="000313D2"/>
    <w:rsid w:val="0003217E"/>
    <w:rsid w:val="000328AC"/>
    <w:rsid w:val="0003333B"/>
    <w:rsid w:val="0003369B"/>
    <w:rsid w:val="000339CC"/>
    <w:rsid w:val="00033B05"/>
    <w:rsid w:val="00036310"/>
    <w:rsid w:val="00041BB2"/>
    <w:rsid w:val="00042811"/>
    <w:rsid w:val="00042BF3"/>
    <w:rsid w:val="00051025"/>
    <w:rsid w:val="0005152E"/>
    <w:rsid w:val="00051D61"/>
    <w:rsid w:val="00052337"/>
    <w:rsid w:val="00053CB5"/>
    <w:rsid w:val="0005604E"/>
    <w:rsid w:val="00056779"/>
    <w:rsid w:val="000619F7"/>
    <w:rsid w:val="00061DF9"/>
    <w:rsid w:val="0006236F"/>
    <w:rsid w:val="00062E96"/>
    <w:rsid w:val="00067DDB"/>
    <w:rsid w:val="00071580"/>
    <w:rsid w:val="00071942"/>
    <w:rsid w:val="000741E4"/>
    <w:rsid w:val="0007420B"/>
    <w:rsid w:val="00074861"/>
    <w:rsid w:val="000758EE"/>
    <w:rsid w:val="00077B8D"/>
    <w:rsid w:val="0008033F"/>
    <w:rsid w:val="000811A3"/>
    <w:rsid w:val="00081D6A"/>
    <w:rsid w:val="00083081"/>
    <w:rsid w:val="00084623"/>
    <w:rsid w:val="00084B03"/>
    <w:rsid w:val="00086524"/>
    <w:rsid w:val="00086BE4"/>
    <w:rsid w:val="000917C9"/>
    <w:rsid w:val="00091C24"/>
    <w:rsid w:val="00094916"/>
    <w:rsid w:val="00094BD3"/>
    <w:rsid w:val="000961FB"/>
    <w:rsid w:val="00097FDD"/>
    <w:rsid w:val="000A0F3E"/>
    <w:rsid w:val="000A2916"/>
    <w:rsid w:val="000A3694"/>
    <w:rsid w:val="000A64BE"/>
    <w:rsid w:val="000B0778"/>
    <w:rsid w:val="000B2257"/>
    <w:rsid w:val="000B275A"/>
    <w:rsid w:val="000B32ED"/>
    <w:rsid w:val="000C00D9"/>
    <w:rsid w:val="000C330F"/>
    <w:rsid w:val="000C37BF"/>
    <w:rsid w:val="000C4632"/>
    <w:rsid w:val="000D280C"/>
    <w:rsid w:val="000D58F5"/>
    <w:rsid w:val="000D66AE"/>
    <w:rsid w:val="000E0B87"/>
    <w:rsid w:val="000E0F59"/>
    <w:rsid w:val="000E1606"/>
    <w:rsid w:val="000E4E38"/>
    <w:rsid w:val="000E55AC"/>
    <w:rsid w:val="000E58DF"/>
    <w:rsid w:val="000E6092"/>
    <w:rsid w:val="000E7146"/>
    <w:rsid w:val="000E7C39"/>
    <w:rsid w:val="000F19CD"/>
    <w:rsid w:val="000F22DF"/>
    <w:rsid w:val="000F6B46"/>
    <w:rsid w:val="000F7D15"/>
    <w:rsid w:val="00102C00"/>
    <w:rsid w:val="00102E79"/>
    <w:rsid w:val="00102FF6"/>
    <w:rsid w:val="00105E9E"/>
    <w:rsid w:val="00106DFB"/>
    <w:rsid w:val="00111F23"/>
    <w:rsid w:val="00115B64"/>
    <w:rsid w:val="00120601"/>
    <w:rsid w:val="00121EA8"/>
    <w:rsid w:val="001228BC"/>
    <w:rsid w:val="001232E6"/>
    <w:rsid w:val="0012381A"/>
    <w:rsid w:val="0012399C"/>
    <w:rsid w:val="001246D5"/>
    <w:rsid w:val="00124D6E"/>
    <w:rsid w:val="00125673"/>
    <w:rsid w:val="00126634"/>
    <w:rsid w:val="00126A13"/>
    <w:rsid w:val="001273ED"/>
    <w:rsid w:val="00130D51"/>
    <w:rsid w:val="001314AE"/>
    <w:rsid w:val="00133058"/>
    <w:rsid w:val="00136BF0"/>
    <w:rsid w:val="00140546"/>
    <w:rsid w:val="00140731"/>
    <w:rsid w:val="0014220B"/>
    <w:rsid w:val="00142BC8"/>
    <w:rsid w:val="00142F43"/>
    <w:rsid w:val="00143FC4"/>
    <w:rsid w:val="001447F8"/>
    <w:rsid w:val="0015094F"/>
    <w:rsid w:val="001509A9"/>
    <w:rsid w:val="00150F31"/>
    <w:rsid w:val="00151A63"/>
    <w:rsid w:val="00153686"/>
    <w:rsid w:val="001557C8"/>
    <w:rsid w:val="00156BC1"/>
    <w:rsid w:val="00161A04"/>
    <w:rsid w:val="0016289D"/>
    <w:rsid w:val="00172EEF"/>
    <w:rsid w:val="0017446C"/>
    <w:rsid w:val="0017538C"/>
    <w:rsid w:val="00182D36"/>
    <w:rsid w:val="001849D4"/>
    <w:rsid w:val="00185EB0"/>
    <w:rsid w:val="00186E7C"/>
    <w:rsid w:val="00191F24"/>
    <w:rsid w:val="00193D2E"/>
    <w:rsid w:val="00193EE3"/>
    <w:rsid w:val="001950D2"/>
    <w:rsid w:val="00196B3C"/>
    <w:rsid w:val="0019747C"/>
    <w:rsid w:val="00197F66"/>
    <w:rsid w:val="001A0163"/>
    <w:rsid w:val="001A5F6D"/>
    <w:rsid w:val="001A66E6"/>
    <w:rsid w:val="001B07EB"/>
    <w:rsid w:val="001B1CBA"/>
    <w:rsid w:val="001B20D7"/>
    <w:rsid w:val="001B2B1E"/>
    <w:rsid w:val="001B48AD"/>
    <w:rsid w:val="001B4DFD"/>
    <w:rsid w:val="001B5F53"/>
    <w:rsid w:val="001B62F7"/>
    <w:rsid w:val="001B694D"/>
    <w:rsid w:val="001C0BAC"/>
    <w:rsid w:val="001C2651"/>
    <w:rsid w:val="001C312A"/>
    <w:rsid w:val="001C3919"/>
    <w:rsid w:val="001C4261"/>
    <w:rsid w:val="001C491E"/>
    <w:rsid w:val="001C49B4"/>
    <w:rsid w:val="001C6216"/>
    <w:rsid w:val="001C6AF7"/>
    <w:rsid w:val="001D0AE0"/>
    <w:rsid w:val="001D43F9"/>
    <w:rsid w:val="001D5901"/>
    <w:rsid w:val="001D5A1A"/>
    <w:rsid w:val="001D6063"/>
    <w:rsid w:val="001D7215"/>
    <w:rsid w:val="001E2F5F"/>
    <w:rsid w:val="001E504C"/>
    <w:rsid w:val="001E7F4C"/>
    <w:rsid w:val="001F3AD9"/>
    <w:rsid w:val="001F60A8"/>
    <w:rsid w:val="001F7A98"/>
    <w:rsid w:val="00201FB2"/>
    <w:rsid w:val="002037A1"/>
    <w:rsid w:val="002037D6"/>
    <w:rsid w:val="00203F3B"/>
    <w:rsid w:val="00205A76"/>
    <w:rsid w:val="00205B9D"/>
    <w:rsid w:val="0020683D"/>
    <w:rsid w:val="002079CF"/>
    <w:rsid w:val="0021170C"/>
    <w:rsid w:val="002120D1"/>
    <w:rsid w:val="00213727"/>
    <w:rsid w:val="00223A99"/>
    <w:rsid w:val="00223D2B"/>
    <w:rsid w:val="00224AC0"/>
    <w:rsid w:val="00232BFE"/>
    <w:rsid w:val="002348D0"/>
    <w:rsid w:val="00234FC7"/>
    <w:rsid w:val="0023552B"/>
    <w:rsid w:val="00235E3E"/>
    <w:rsid w:val="00235F65"/>
    <w:rsid w:val="00237642"/>
    <w:rsid w:val="002406C2"/>
    <w:rsid w:val="00240B74"/>
    <w:rsid w:val="00240D74"/>
    <w:rsid w:val="00242C11"/>
    <w:rsid w:val="00244D45"/>
    <w:rsid w:val="002459E5"/>
    <w:rsid w:val="00245E32"/>
    <w:rsid w:val="00246B96"/>
    <w:rsid w:val="00246BC5"/>
    <w:rsid w:val="00247607"/>
    <w:rsid w:val="00247850"/>
    <w:rsid w:val="0024794D"/>
    <w:rsid w:val="00255D5E"/>
    <w:rsid w:val="00256059"/>
    <w:rsid w:val="0025693A"/>
    <w:rsid w:val="00257506"/>
    <w:rsid w:val="00261A83"/>
    <w:rsid w:val="002663A5"/>
    <w:rsid w:val="002703B1"/>
    <w:rsid w:val="002709FD"/>
    <w:rsid w:val="0027120A"/>
    <w:rsid w:val="0027193B"/>
    <w:rsid w:val="002721F2"/>
    <w:rsid w:val="00274724"/>
    <w:rsid w:val="00275ED6"/>
    <w:rsid w:val="00277C64"/>
    <w:rsid w:val="002807DE"/>
    <w:rsid w:val="0028093C"/>
    <w:rsid w:val="00281A7C"/>
    <w:rsid w:val="00283F86"/>
    <w:rsid w:val="0028512E"/>
    <w:rsid w:val="0028619A"/>
    <w:rsid w:val="00286353"/>
    <w:rsid w:val="00287C20"/>
    <w:rsid w:val="00290833"/>
    <w:rsid w:val="002931B1"/>
    <w:rsid w:val="00293448"/>
    <w:rsid w:val="00294FCB"/>
    <w:rsid w:val="00297EB1"/>
    <w:rsid w:val="002A0A3D"/>
    <w:rsid w:val="002A0E94"/>
    <w:rsid w:val="002A4FE1"/>
    <w:rsid w:val="002A5621"/>
    <w:rsid w:val="002B0CCF"/>
    <w:rsid w:val="002B196C"/>
    <w:rsid w:val="002B28EC"/>
    <w:rsid w:val="002C033A"/>
    <w:rsid w:val="002C1895"/>
    <w:rsid w:val="002C282A"/>
    <w:rsid w:val="002C2BE7"/>
    <w:rsid w:val="002C57F0"/>
    <w:rsid w:val="002C6983"/>
    <w:rsid w:val="002D076E"/>
    <w:rsid w:val="002D224C"/>
    <w:rsid w:val="002D57D9"/>
    <w:rsid w:val="002E1A13"/>
    <w:rsid w:val="002E22EF"/>
    <w:rsid w:val="002E2348"/>
    <w:rsid w:val="002E2350"/>
    <w:rsid w:val="002E4B6B"/>
    <w:rsid w:val="002E555D"/>
    <w:rsid w:val="002E7623"/>
    <w:rsid w:val="002F1966"/>
    <w:rsid w:val="002F1C46"/>
    <w:rsid w:val="002F214B"/>
    <w:rsid w:val="002F2765"/>
    <w:rsid w:val="002F3AA6"/>
    <w:rsid w:val="002F3CFC"/>
    <w:rsid w:val="002F480E"/>
    <w:rsid w:val="002F7EBA"/>
    <w:rsid w:val="00300450"/>
    <w:rsid w:val="003009EB"/>
    <w:rsid w:val="00300CAF"/>
    <w:rsid w:val="00301BC3"/>
    <w:rsid w:val="00301BDA"/>
    <w:rsid w:val="0030231B"/>
    <w:rsid w:val="00303201"/>
    <w:rsid w:val="00303B64"/>
    <w:rsid w:val="00304794"/>
    <w:rsid w:val="00304ADE"/>
    <w:rsid w:val="00305243"/>
    <w:rsid w:val="0030691C"/>
    <w:rsid w:val="00311F35"/>
    <w:rsid w:val="00312768"/>
    <w:rsid w:val="003130EC"/>
    <w:rsid w:val="00313F80"/>
    <w:rsid w:val="00316B19"/>
    <w:rsid w:val="00322297"/>
    <w:rsid w:val="00322D18"/>
    <w:rsid w:val="003244C7"/>
    <w:rsid w:val="00326DFF"/>
    <w:rsid w:val="0032707D"/>
    <w:rsid w:val="00327B93"/>
    <w:rsid w:val="0033002B"/>
    <w:rsid w:val="003338F8"/>
    <w:rsid w:val="00333B34"/>
    <w:rsid w:val="00334C5E"/>
    <w:rsid w:val="003358EF"/>
    <w:rsid w:val="00336EB3"/>
    <w:rsid w:val="003374A6"/>
    <w:rsid w:val="00341928"/>
    <w:rsid w:val="0034238C"/>
    <w:rsid w:val="00345C43"/>
    <w:rsid w:val="003460F0"/>
    <w:rsid w:val="00347ADB"/>
    <w:rsid w:val="00347F4D"/>
    <w:rsid w:val="003535D8"/>
    <w:rsid w:val="00354046"/>
    <w:rsid w:val="003542DB"/>
    <w:rsid w:val="00354B8F"/>
    <w:rsid w:val="003560B0"/>
    <w:rsid w:val="003562B0"/>
    <w:rsid w:val="003565E4"/>
    <w:rsid w:val="00357BF7"/>
    <w:rsid w:val="00362B6D"/>
    <w:rsid w:val="0036454B"/>
    <w:rsid w:val="003662D4"/>
    <w:rsid w:val="00367DFD"/>
    <w:rsid w:val="00370421"/>
    <w:rsid w:val="00372FCE"/>
    <w:rsid w:val="00373A23"/>
    <w:rsid w:val="00374CE2"/>
    <w:rsid w:val="00375069"/>
    <w:rsid w:val="0037508E"/>
    <w:rsid w:val="00376982"/>
    <w:rsid w:val="00382EA8"/>
    <w:rsid w:val="003906C7"/>
    <w:rsid w:val="003916C2"/>
    <w:rsid w:val="00391EC8"/>
    <w:rsid w:val="00392C50"/>
    <w:rsid w:val="00393364"/>
    <w:rsid w:val="0039638E"/>
    <w:rsid w:val="00396428"/>
    <w:rsid w:val="00397099"/>
    <w:rsid w:val="00397BDB"/>
    <w:rsid w:val="003A2AF4"/>
    <w:rsid w:val="003A3529"/>
    <w:rsid w:val="003A4A00"/>
    <w:rsid w:val="003A6A3A"/>
    <w:rsid w:val="003A6A6E"/>
    <w:rsid w:val="003A6D9D"/>
    <w:rsid w:val="003B06F5"/>
    <w:rsid w:val="003B2EC6"/>
    <w:rsid w:val="003B7533"/>
    <w:rsid w:val="003C0273"/>
    <w:rsid w:val="003C3CF8"/>
    <w:rsid w:val="003C442C"/>
    <w:rsid w:val="003C4A02"/>
    <w:rsid w:val="003C6412"/>
    <w:rsid w:val="003C7048"/>
    <w:rsid w:val="003D07A3"/>
    <w:rsid w:val="003D197E"/>
    <w:rsid w:val="003D1A79"/>
    <w:rsid w:val="003D4B27"/>
    <w:rsid w:val="003E0748"/>
    <w:rsid w:val="003E0BCF"/>
    <w:rsid w:val="003E0C8F"/>
    <w:rsid w:val="003E0F4C"/>
    <w:rsid w:val="003E2160"/>
    <w:rsid w:val="003E3591"/>
    <w:rsid w:val="003E6193"/>
    <w:rsid w:val="003E729D"/>
    <w:rsid w:val="003E7DBF"/>
    <w:rsid w:val="003F1483"/>
    <w:rsid w:val="003F185E"/>
    <w:rsid w:val="003F1DD8"/>
    <w:rsid w:val="003F340B"/>
    <w:rsid w:val="003F731C"/>
    <w:rsid w:val="003F7515"/>
    <w:rsid w:val="003F76CB"/>
    <w:rsid w:val="003F7BA7"/>
    <w:rsid w:val="0040263D"/>
    <w:rsid w:val="00402AFF"/>
    <w:rsid w:val="0040464F"/>
    <w:rsid w:val="00405A7A"/>
    <w:rsid w:val="0041033B"/>
    <w:rsid w:val="00411513"/>
    <w:rsid w:val="00414173"/>
    <w:rsid w:val="0041524C"/>
    <w:rsid w:val="00416613"/>
    <w:rsid w:val="00416D02"/>
    <w:rsid w:val="00420E67"/>
    <w:rsid w:val="004221E0"/>
    <w:rsid w:val="004223D8"/>
    <w:rsid w:val="0042272B"/>
    <w:rsid w:val="0042288B"/>
    <w:rsid w:val="00422C71"/>
    <w:rsid w:val="0042303C"/>
    <w:rsid w:val="00423217"/>
    <w:rsid w:val="004260A4"/>
    <w:rsid w:val="00427967"/>
    <w:rsid w:val="0043045D"/>
    <w:rsid w:val="004307D2"/>
    <w:rsid w:val="00431360"/>
    <w:rsid w:val="00431683"/>
    <w:rsid w:val="00431752"/>
    <w:rsid w:val="00432F34"/>
    <w:rsid w:val="00433FC1"/>
    <w:rsid w:val="00435B43"/>
    <w:rsid w:val="00437221"/>
    <w:rsid w:val="00437871"/>
    <w:rsid w:val="00437DB9"/>
    <w:rsid w:val="00440BB0"/>
    <w:rsid w:val="00441B1C"/>
    <w:rsid w:val="00441E92"/>
    <w:rsid w:val="004425F5"/>
    <w:rsid w:val="004428F3"/>
    <w:rsid w:val="00442F1D"/>
    <w:rsid w:val="0044383C"/>
    <w:rsid w:val="004441CA"/>
    <w:rsid w:val="00445B27"/>
    <w:rsid w:val="00445C39"/>
    <w:rsid w:val="004479EE"/>
    <w:rsid w:val="00447C86"/>
    <w:rsid w:val="004506BE"/>
    <w:rsid w:val="00451A44"/>
    <w:rsid w:val="00452E56"/>
    <w:rsid w:val="00455491"/>
    <w:rsid w:val="0045710F"/>
    <w:rsid w:val="00461328"/>
    <w:rsid w:val="00466240"/>
    <w:rsid w:val="004678B6"/>
    <w:rsid w:val="00472572"/>
    <w:rsid w:val="0047271B"/>
    <w:rsid w:val="0047299A"/>
    <w:rsid w:val="00472B02"/>
    <w:rsid w:val="004734E6"/>
    <w:rsid w:val="004739D9"/>
    <w:rsid w:val="00473BB2"/>
    <w:rsid w:val="00474D59"/>
    <w:rsid w:val="004755A2"/>
    <w:rsid w:val="00475994"/>
    <w:rsid w:val="00476019"/>
    <w:rsid w:val="00477C8F"/>
    <w:rsid w:val="004846E5"/>
    <w:rsid w:val="00487B61"/>
    <w:rsid w:val="00487D0C"/>
    <w:rsid w:val="0049434E"/>
    <w:rsid w:val="00497950"/>
    <w:rsid w:val="004A0E6C"/>
    <w:rsid w:val="004A20F6"/>
    <w:rsid w:val="004A41AA"/>
    <w:rsid w:val="004A6343"/>
    <w:rsid w:val="004A7E22"/>
    <w:rsid w:val="004B052C"/>
    <w:rsid w:val="004B0898"/>
    <w:rsid w:val="004B1C77"/>
    <w:rsid w:val="004B3630"/>
    <w:rsid w:val="004B3A4F"/>
    <w:rsid w:val="004B3B96"/>
    <w:rsid w:val="004B3D8B"/>
    <w:rsid w:val="004B428B"/>
    <w:rsid w:val="004B6F7F"/>
    <w:rsid w:val="004C12AD"/>
    <w:rsid w:val="004C1ABA"/>
    <w:rsid w:val="004C21D6"/>
    <w:rsid w:val="004C243B"/>
    <w:rsid w:val="004C2CB2"/>
    <w:rsid w:val="004C381B"/>
    <w:rsid w:val="004C3A52"/>
    <w:rsid w:val="004C3CF8"/>
    <w:rsid w:val="004C545A"/>
    <w:rsid w:val="004D2013"/>
    <w:rsid w:val="004D260C"/>
    <w:rsid w:val="004D5D9C"/>
    <w:rsid w:val="004D7B11"/>
    <w:rsid w:val="004E04E2"/>
    <w:rsid w:val="004E266F"/>
    <w:rsid w:val="004E37D1"/>
    <w:rsid w:val="004E57B1"/>
    <w:rsid w:val="004E7617"/>
    <w:rsid w:val="004F12B4"/>
    <w:rsid w:val="004F28D6"/>
    <w:rsid w:val="004F3E22"/>
    <w:rsid w:val="004F7788"/>
    <w:rsid w:val="00500798"/>
    <w:rsid w:val="00500A97"/>
    <w:rsid w:val="00500C81"/>
    <w:rsid w:val="0050240E"/>
    <w:rsid w:val="0050264B"/>
    <w:rsid w:val="00503641"/>
    <w:rsid w:val="005052C4"/>
    <w:rsid w:val="00505F2B"/>
    <w:rsid w:val="00505FAD"/>
    <w:rsid w:val="0050629E"/>
    <w:rsid w:val="00507756"/>
    <w:rsid w:val="00507D6F"/>
    <w:rsid w:val="00511945"/>
    <w:rsid w:val="00512209"/>
    <w:rsid w:val="00512A4D"/>
    <w:rsid w:val="005132F1"/>
    <w:rsid w:val="005142A5"/>
    <w:rsid w:val="00514B9D"/>
    <w:rsid w:val="00516550"/>
    <w:rsid w:val="00521C6E"/>
    <w:rsid w:val="005254FE"/>
    <w:rsid w:val="00526AA9"/>
    <w:rsid w:val="005274BA"/>
    <w:rsid w:val="00527DFC"/>
    <w:rsid w:val="00530D48"/>
    <w:rsid w:val="005320F1"/>
    <w:rsid w:val="005365C2"/>
    <w:rsid w:val="00537305"/>
    <w:rsid w:val="00537D4E"/>
    <w:rsid w:val="00544A4B"/>
    <w:rsid w:val="005457A3"/>
    <w:rsid w:val="0055110E"/>
    <w:rsid w:val="00551459"/>
    <w:rsid w:val="005527C7"/>
    <w:rsid w:val="0055473B"/>
    <w:rsid w:val="00554BD0"/>
    <w:rsid w:val="00556505"/>
    <w:rsid w:val="005568AD"/>
    <w:rsid w:val="00556BA4"/>
    <w:rsid w:val="0055704D"/>
    <w:rsid w:val="005579B1"/>
    <w:rsid w:val="00565C97"/>
    <w:rsid w:val="00566893"/>
    <w:rsid w:val="00570DB8"/>
    <w:rsid w:val="00571829"/>
    <w:rsid w:val="00572539"/>
    <w:rsid w:val="00572A55"/>
    <w:rsid w:val="00572D26"/>
    <w:rsid w:val="005748DD"/>
    <w:rsid w:val="005762E3"/>
    <w:rsid w:val="00576E6A"/>
    <w:rsid w:val="00577251"/>
    <w:rsid w:val="00577726"/>
    <w:rsid w:val="00577C34"/>
    <w:rsid w:val="00580091"/>
    <w:rsid w:val="00584A46"/>
    <w:rsid w:val="00585539"/>
    <w:rsid w:val="0058613B"/>
    <w:rsid w:val="00587464"/>
    <w:rsid w:val="00591A76"/>
    <w:rsid w:val="00591D9D"/>
    <w:rsid w:val="00591F51"/>
    <w:rsid w:val="005923D7"/>
    <w:rsid w:val="005937CD"/>
    <w:rsid w:val="00593F8A"/>
    <w:rsid w:val="0059457C"/>
    <w:rsid w:val="00594BC2"/>
    <w:rsid w:val="00594BFE"/>
    <w:rsid w:val="00594CF9"/>
    <w:rsid w:val="0059587B"/>
    <w:rsid w:val="00596766"/>
    <w:rsid w:val="00597E56"/>
    <w:rsid w:val="00597E8E"/>
    <w:rsid w:val="005A14A3"/>
    <w:rsid w:val="005A1E3E"/>
    <w:rsid w:val="005A48A9"/>
    <w:rsid w:val="005A6AB7"/>
    <w:rsid w:val="005A709D"/>
    <w:rsid w:val="005B1663"/>
    <w:rsid w:val="005B1DB8"/>
    <w:rsid w:val="005B2B84"/>
    <w:rsid w:val="005B3962"/>
    <w:rsid w:val="005B3D91"/>
    <w:rsid w:val="005B3F34"/>
    <w:rsid w:val="005B4CCF"/>
    <w:rsid w:val="005B7B95"/>
    <w:rsid w:val="005C0AC0"/>
    <w:rsid w:val="005C0B7B"/>
    <w:rsid w:val="005C1ED8"/>
    <w:rsid w:val="005C218C"/>
    <w:rsid w:val="005C3A5C"/>
    <w:rsid w:val="005C418F"/>
    <w:rsid w:val="005C6708"/>
    <w:rsid w:val="005C6BA8"/>
    <w:rsid w:val="005D3798"/>
    <w:rsid w:val="005D38FB"/>
    <w:rsid w:val="005D40C6"/>
    <w:rsid w:val="005D50C0"/>
    <w:rsid w:val="005D51A6"/>
    <w:rsid w:val="005D65A0"/>
    <w:rsid w:val="005D7AA2"/>
    <w:rsid w:val="005E0362"/>
    <w:rsid w:val="005E038A"/>
    <w:rsid w:val="005E12F8"/>
    <w:rsid w:val="005E6D43"/>
    <w:rsid w:val="005F0560"/>
    <w:rsid w:val="005F2357"/>
    <w:rsid w:val="005F7E67"/>
    <w:rsid w:val="006017D5"/>
    <w:rsid w:val="00602AB8"/>
    <w:rsid w:val="00602E23"/>
    <w:rsid w:val="00605F05"/>
    <w:rsid w:val="00607961"/>
    <w:rsid w:val="0061174B"/>
    <w:rsid w:val="00612A66"/>
    <w:rsid w:val="00613823"/>
    <w:rsid w:val="00614C80"/>
    <w:rsid w:val="00616544"/>
    <w:rsid w:val="00616B0E"/>
    <w:rsid w:val="00617052"/>
    <w:rsid w:val="00620DDE"/>
    <w:rsid w:val="00621A6A"/>
    <w:rsid w:val="00622179"/>
    <w:rsid w:val="0062398C"/>
    <w:rsid w:val="00625CEB"/>
    <w:rsid w:val="006315C8"/>
    <w:rsid w:val="0063250F"/>
    <w:rsid w:val="00632F30"/>
    <w:rsid w:val="006335C9"/>
    <w:rsid w:val="006337D7"/>
    <w:rsid w:val="006339C0"/>
    <w:rsid w:val="00636CCD"/>
    <w:rsid w:val="0064031F"/>
    <w:rsid w:val="0064155A"/>
    <w:rsid w:val="00641D13"/>
    <w:rsid w:val="0064542D"/>
    <w:rsid w:val="00645780"/>
    <w:rsid w:val="006510EE"/>
    <w:rsid w:val="006541E8"/>
    <w:rsid w:val="006607D3"/>
    <w:rsid w:val="00661781"/>
    <w:rsid w:val="00663C70"/>
    <w:rsid w:val="00664282"/>
    <w:rsid w:val="00664D90"/>
    <w:rsid w:val="0066591F"/>
    <w:rsid w:val="00666CB8"/>
    <w:rsid w:val="00675CFF"/>
    <w:rsid w:val="00676110"/>
    <w:rsid w:val="0067628E"/>
    <w:rsid w:val="006775B1"/>
    <w:rsid w:val="006777A4"/>
    <w:rsid w:val="00682980"/>
    <w:rsid w:val="006840BB"/>
    <w:rsid w:val="006849C6"/>
    <w:rsid w:val="00684F60"/>
    <w:rsid w:val="006879E0"/>
    <w:rsid w:val="00690108"/>
    <w:rsid w:val="006919E0"/>
    <w:rsid w:val="00691A3A"/>
    <w:rsid w:val="00692C78"/>
    <w:rsid w:val="00693691"/>
    <w:rsid w:val="00695690"/>
    <w:rsid w:val="00697A22"/>
    <w:rsid w:val="00697C57"/>
    <w:rsid w:val="006A1ACA"/>
    <w:rsid w:val="006A2292"/>
    <w:rsid w:val="006A3263"/>
    <w:rsid w:val="006A34F0"/>
    <w:rsid w:val="006A4DDB"/>
    <w:rsid w:val="006A5323"/>
    <w:rsid w:val="006A74A3"/>
    <w:rsid w:val="006A761F"/>
    <w:rsid w:val="006B00CC"/>
    <w:rsid w:val="006B038E"/>
    <w:rsid w:val="006B10F1"/>
    <w:rsid w:val="006B341E"/>
    <w:rsid w:val="006B6AC4"/>
    <w:rsid w:val="006D123B"/>
    <w:rsid w:val="006D2AC4"/>
    <w:rsid w:val="006D2F83"/>
    <w:rsid w:val="006D3077"/>
    <w:rsid w:val="006D35B4"/>
    <w:rsid w:val="006D3AD8"/>
    <w:rsid w:val="006D558F"/>
    <w:rsid w:val="006D75C1"/>
    <w:rsid w:val="006E2F35"/>
    <w:rsid w:val="006E55E7"/>
    <w:rsid w:val="006E575A"/>
    <w:rsid w:val="006E5A98"/>
    <w:rsid w:val="006F1421"/>
    <w:rsid w:val="006F1B9C"/>
    <w:rsid w:val="006F6BDD"/>
    <w:rsid w:val="006F7A88"/>
    <w:rsid w:val="00700163"/>
    <w:rsid w:val="00702376"/>
    <w:rsid w:val="0070391F"/>
    <w:rsid w:val="00704BFF"/>
    <w:rsid w:val="00704E16"/>
    <w:rsid w:val="007110F7"/>
    <w:rsid w:val="007123DB"/>
    <w:rsid w:val="00712826"/>
    <w:rsid w:val="00714610"/>
    <w:rsid w:val="00714DA3"/>
    <w:rsid w:val="00714F12"/>
    <w:rsid w:val="007151FB"/>
    <w:rsid w:val="00715D9F"/>
    <w:rsid w:val="00717AD4"/>
    <w:rsid w:val="00717E3B"/>
    <w:rsid w:val="00720330"/>
    <w:rsid w:val="00721549"/>
    <w:rsid w:val="00724A2C"/>
    <w:rsid w:val="00727E58"/>
    <w:rsid w:val="007303BA"/>
    <w:rsid w:val="00733E9A"/>
    <w:rsid w:val="00734699"/>
    <w:rsid w:val="00735047"/>
    <w:rsid w:val="00736F7E"/>
    <w:rsid w:val="00741BD8"/>
    <w:rsid w:val="0074332A"/>
    <w:rsid w:val="007441D5"/>
    <w:rsid w:val="0074602C"/>
    <w:rsid w:val="00746E44"/>
    <w:rsid w:val="0074719A"/>
    <w:rsid w:val="0075195F"/>
    <w:rsid w:val="00753608"/>
    <w:rsid w:val="00753E20"/>
    <w:rsid w:val="00754BC1"/>
    <w:rsid w:val="00755801"/>
    <w:rsid w:val="00755D48"/>
    <w:rsid w:val="00755EB1"/>
    <w:rsid w:val="0075669E"/>
    <w:rsid w:val="00756AED"/>
    <w:rsid w:val="007571AC"/>
    <w:rsid w:val="0076196A"/>
    <w:rsid w:val="0076269A"/>
    <w:rsid w:val="00762B82"/>
    <w:rsid w:val="00766E6B"/>
    <w:rsid w:val="0076788C"/>
    <w:rsid w:val="00767C18"/>
    <w:rsid w:val="0077017D"/>
    <w:rsid w:val="00772A7E"/>
    <w:rsid w:val="0077318C"/>
    <w:rsid w:val="007732DA"/>
    <w:rsid w:val="00773346"/>
    <w:rsid w:val="007737D2"/>
    <w:rsid w:val="00773DE4"/>
    <w:rsid w:val="007749A1"/>
    <w:rsid w:val="00774D3F"/>
    <w:rsid w:val="0077757A"/>
    <w:rsid w:val="00780EE4"/>
    <w:rsid w:val="007815CA"/>
    <w:rsid w:val="00782467"/>
    <w:rsid w:val="00783791"/>
    <w:rsid w:val="00785821"/>
    <w:rsid w:val="0078730B"/>
    <w:rsid w:val="007907F2"/>
    <w:rsid w:val="00793143"/>
    <w:rsid w:val="00793CBD"/>
    <w:rsid w:val="007946EE"/>
    <w:rsid w:val="00795D35"/>
    <w:rsid w:val="007962D8"/>
    <w:rsid w:val="007B1CF1"/>
    <w:rsid w:val="007B3304"/>
    <w:rsid w:val="007B4E18"/>
    <w:rsid w:val="007B61DD"/>
    <w:rsid w:val="007B62A6"/>
    <w:rsid w:val="007C0266"/>
    <w:rsid w:val="007C0331"/>
    <w:rsid w:val="007C0967"/>
    <w:rsid w:val="007C2093"/>
    <w:rsid w:val="007C511D"/>
    <w:rsid w:val="007C66E2"/>
    <w:rsid w:val="007D5BE6"/>
    <w:rsid w:val="007D71D4"/>
    <w:rsid w:val="007D7639"/>
    <w:rsid w:val="007E34C4"/>
    <w:rsid w:val="007E50EF"/>
    <w:rsid w:val="007E5E6D"/>
    <w:rsid w:val="007E741B"/>
    <w:rsid w:val="007E764B"/>
    <w:rsid w:val="007E77E3"/>
    <w:rsid w:val="007E7AD5"/>
    <w:rsid w:val="007E7CCC"/>
    <w:rsid w:val="007F0532"/>
    <w:rsid w:val="007F1A8B"/>
    <w:rsid w:val="007F269A"/>
    <w:rsid w:val="007F6F6E"/>
    <w:rsid w:val="0080168D"/>
    <w:rsid w:val="00802E7C"/>
    <w:rsid w:val="00805BB1"/>
    <w:rsid w:val="00811047"/>
    <w:rsid w:val="00812072"/>
    <w:rsid w:val="0081273C"/>
    <w:rsid w:val="0081275C"/>
    <w:rsid w:val="00815352"/>
    <w:rsid w:val="00815CF6"/>
    <w:rsid w:val="00816849"/>
    <w:rsid w:val="00820355"/>
    <w:rsid w:val="00820882"/>
    <w:rsid w:val="00823914"/>
    <w:rsid w:val="00823D43"/>
    <w:rsid w:val="00824FC2"/>
    <w:rsid w:val="008262E9"/>
    <w:rsid w:val="00826992"/>
    <w:rsid w:val="00831892"/>
    <w:rsid w:val="00835015"/>
    <w:rsid w:val="00840AD1"/>
    <w:rsid w:val="008431A1"/>
    <w:rsid w:val="00843E5F"/>
    <w:rsid w:val="008455D0"/>
    <w:rsid w:val="00845A81"/>
    <w:rsid w:val="00851DEC"/>
    <w:rsid w:val="00853387"/>
    <w:rsid w:val="00854160"/>
    <w:rsid w:val="00854B26"/>
    <w:rsid w:val="00856E49"/>
    <w:rsid w:val="00861248"/>
    <w:rsid w:val="008615F4"/>
    <w:rsid w:val="00861F98"/>
    <w:rsid w:val="0086264E"/>
    <w:rsid w:val="00864B89"/>
    <w:rsid w:val="0086501A"/>
    <w:rsid w:val="00870EF7"/>
    <w:rsid w:val="0087300E"/>
    <w:rsid w:val="00873A26"/>
    <w:rsid w:val="00873BB7"/>
    <w:rsid w:val="008759C5"/>
    <w:rsid w:val="0087756B"/>
    <w:rsid w:val="008818F6"/>
    <w:rsid w:val="00881FC9"/>
    <w:rsid w:val="00884DDA"/>
    <w:rsid w:val="0088604E"/>
    <w:rsid w:val="00887086"/>
    <w:rsid w:val="008870D4"/>
    <w:rsid w:val="008876C6"/>
    <w:rsid w:val="00890616"/>
    <w:rsid w:val="00891B8A"/>
    <w:rsid w:val="00892480"/>
    <w:rsid w:val="008926FD"/>
    <w:rsid w:val="0089577E"/>
    <w:rsid w:val="00896BA0"/>
    <w:rsid w:val="00896FB8"/>
    <w:rsid w:val="008975BB"/>
    <w:rsid w:val="008978B7"/>
    <w:rsid w:val="008B07ED"/>
    <w:rsid w:val="008B290D"/>
    <w:rsid w:val="008B6CB5"/>
    <w:rsid w:val="008B7EB4"/>
    <w:rsid w:val="008C121F"/>
    <w:rsid w:val="008C5BA8"/>
    <w:rsid w:val="008C662F"/>
    <w:rsid w:val="008C6CB5"/>
    <w:rsid w:val="008C6E0A"/>
    <w:rsid w:val="008C7D72"/>
    <w:rsid w:val="008D020C"/>
    <w:rsid w:val="008D04B7"/>
    <w:rsid w:val="008D0A72"/>
    <w:rsid w:val="008D26A4"/>
    <w:rsid w:val="008D42E5"/>
    <w:rsid w:val="008D4DC1"/>
    <w:rsid w:val="008D5473"/>
    <w:rsid w:val="008D770E"/>
    <w:rsid w:val="008D783A"/>
    <w:rsid w:val="008E0563"/>
    <w:rsid w:val="008E0E31"/>
    <w:rsid w:val="008E25DA"/>
    <w:rsid w:val="008E399C"/>
    <w:rsid w:val="008E435A"/>
    <w:rsid w:val="008E4410"/>
    <w:rsid w:val="008E520D"/>
    <w:rsid w:val="008F08D9"/>
    <w:rsid w:val="008F2679"/>
    <w:rsid w:val="008F33F7"/>
    <w:rsid w:val="0090697A"/>
    <w:rsid w:val="00911647"/>
    <w:rsid w:val="00913A6E"/>
    <w:rsid w:val="0092073D"/>
    <w:rsid w:val="00921338"/>
    <w:rsid w:val="009239FB"/>
    <w:rsid w:val="00925248"/>
    <w:rsid w:val="009266A8"/>
    <w:rsid w:val="00926AA8"/>
    <w:rsid w:val="00927322"/>
    <w:rsid w:val="0092766B"/>
    <w:rsid w:val="00930CAC"/>
    <w:rsid w:val="00931831"/>
    <w:rsid w:val="00932ADE"/>
    <w:rsid w:val="00933B15"/>
    <w:rsid w:val="00940167"/>
    <w:rsid w:val="00940A24"/>
    <w:rsid w:val="009417E0"/>
    <w:rsid w:val="009421BD"/>
    <w:rsid w:val="009423F3"/>
    <w:rsid w:val="00942CDF"/>
    <w:rsid w:val="00943811"/>
    <w:rsid w:val="00945FAE"/>
    <w:rsid w:val="00946DDF"/>
    <w:rsid w:val="00947FAC"/>
    <w:rsid w:val="009504D1"/>
    <w:rsid w:val="00957B00"/>
    <w:rsid w:val="0096138B"/>
    <w:rsid w:val="0096352A"/>
    <w:rsid w:val="00963A65"/>
    <w:rsid w:val="00964EED"/>
    <w:rsid w:val="009653DC"/>
    <w:rsid w:val="00965F68"/>
    <w:rsid w:val="0096659D"/>
    <w:rsid w:val="009665D3"/>
    <w:rsid w:val="00970EAD"/>
    <w:rsid w:val="00971E39"/>
    <w:rsid w:val="009721F9"/>
    <w:rsid w:val="00973201"/>
    <w:rsid w:val="009746DA"/>
    <w:rsid w:val="00975353"/>
    <w:rsid w:val="009757FC"/>
    <w:rsid w:val="00976159"/>
    <w:rsid w:val="00977932"/>
    <w:rsid w:val="009800EE"/>
    <w:rsid w:val="00983879"/>
    <w:rsid w:val="009850CD"/>
    <w:rsid w:val="00986681"/>
    <w:rsid w:val="009867AD"/>
    <w:rsid w:val="00990AC3"/>
    <w:rsid w:val="00990F39"/>
    <w:rsid w:val="00992A21"/>
    <w:rsid w:val="009A0B54"/>
    <w:rsid w:val="009A20A5"/>
    <w:rsid w:val="009A284D"/>
    <w:rsid w:val="009A2C81"/>
    <w:rsid w:val="009A3D14"/>
    <w:rsid w:val="009A7537"/>
    <w:rsid w:val="009A7906"/>
    <w:rsid w:val="009B2D66"/>
    <w:rsid w:val="009B6B5A"/>
    <w:rsid w:val="009C07B2"/>
    <w:rsid w:val="009C2A94"/>
    <w:rsid w:val="009D0308"/>
    <w:rsid w:val="009D26A7"/>
    <w:rsid w:val="009D26D0"/>
    <w:rsid w:val="009D7885"/>
    <w:rsid w:val="009E1275"/>
    <w:rsid w:val="009E14F1"/>
    <w:rsid w:val="009E2931"/>
    <w:rsid w:val="009E564A"/>
    <w:rsid w:val="009E5DA1"/>
    <w:rsid w:val="009E6FAF"/>
    <w:rsid w:val="009F0666"/>
    <w:rsid w:val="009F23DD"/>
    <w:rsid w:val="009F2E96"/>
    <w:rsid w:val="009F49D1"/>
    <w:rsid w:val="009F6D27"/>
    <w:rsid w:val="00A001D5"/>
    <w:rsid w:val="00A009BE"/>
    <w:rsid w:val="00A02D33"/>
    <w:rsid w:val="00A033FB"/>
    <w:rsid w:val="00A0370F"/>
    <w:rsid w:val="00A03F45"/>
    <w:rsid w:val="00A04FED"/>
    <w:rsid w:val="00A05C54"/>
    <w:rsid w:val="00A0739E"/>
    <w:rsid w:val="00A07D7F"/>
    <w:rsid w:val="00A10060"/>
    <w:rsid w:val="00A13CD1"/>
    <w:rsid w:val="00A20977"/>
    <w:rsid w:val="00A21E26"/>
    <w:rsid w:val="00A238CE"/>
    <w:rsid w:val="00A25DCA"/>
    <w:rsid w:val="00A260D7"/>
    <w:rsid w:val="00A273D9"/>
    <w:rsid w:val="00A330EB"/>
    <w:rsid w:val="00A34FA9"/>
    <w:rsid w:val="00A35CAF"/>
    <w:rsid w:val="00A37B25"/>
    <w:rsid w:val="00A411B3"/>
    <w:rsid w:val="00A43C7B"/>
    <w:rsid w:val="00A44BC2"/>
    <w:rsid w:val="00A4627E"/>
    <w:rsid w:val="00A47FA7"/>
    <w:rsid w:val="00A5098D"/>
    <w:rsid w:val="00A5099E"/>
    <w:rsid w:val="00A50B81"/>
    <w:rsid w:val="00A50FC3"/>
    <w:rsid w:val="00A513F0"/>
    <w:rsid w:val="00A51924"/>
    <w:rsid w:val="00A52E89"/>
    <w:rsid w:val="00A54397"/>
    <w:rsid w:val="00A5570B"/>
    <w:rsid w:val="00A56097"/>
    <w:rsid w:val="00A5720C"/>
    <w:rsid w:val="00A578FF"/>
    <w:rsid w:val="00A6007A"/>
    <w:rsid w:val="00A62609"/>
    <w:rsid w:val="00A6570E"/>
    <w:rsid w:val="00A6579F"/>
    <w:rsid w:val="00A67D78"/>
    <w:rsid w:val="00A701D2"/>
    <w:rsid w:val="00A715C5"/>
    <w:rsid w:val="00A72858"/>
    <w:rsid w:val="00A738D3"/>
    <w:rsid w:val="00A7424F"/>
    <w:rsid w:val="00A76B32"/>
    <w:rsid w:val="00A77962"/>
    <w:rsid w:val="00A77A56"/>
    <w:rsid w:val="00A8089C"/>
    <w:rsid w:val="00A81F04"/>
    <w:rsid w:val="00A8267E"/>
    <w:rsid w:val="00A83628"/>
    <w:rsid w:val="00A83BD8"/>
    <w:rsid w:val="00A85507"/>
    <w:rsid w:val="00A86582"/>
    <w:rsid w:val="00A87CA4"/>
    <w:rsid w:val="00A90436"/>
    <w:rsid w:val="00A911BF"/>
    <w:rsid w:val="00A927DF"/>
    <w:rsid w:val="00A92C8F"/>
    <w:rsid w:val="00A94E86"/>
    <w:rsid w:val="00A97877"/>
    <w:rsid w:val="00A97A8E"/>
    <w:rsid w:val="00A97DCC"/>
    <w:rsid w:val="00AA18C8"/>
    <w:rsid w:val="00AA245E"/>
    <w:rsid w:val="00AA4540"/>
    <w:rsid w:val="00AA5102"/>
    <w:rsid w:val="00AA590F"/>
    <w:rsid w:val="00AB13C7"/>
    <w:rsid w:val="00AB1C14"/>
    <w:rsid w:val="00AB2F58"/>
    <w:rsid w:val="00AB3325"/>
    <w:rsid w:val="00AB3AC8"/>
    <w:rsid w:val="00AB72EA"/>
    <w:rsid w:val="00AC0643"/>
    <w:rsid w:val="00AC2C02"/>
    <w:rsid w:val="00AC36FA"/>
    <w:rsid w:val="00AC50E3"/>
    <w:rsid w:val="00AC7CC3"/>
    <w:rsid w:val="00AD0C12"/>
    <w:rsid w:val="00AD18E3"/>
    <w:rsid w:val="00AD2D11"/>
    <w:rsid w:val="00AD4F22"/>
    <w:rsid w:val="00AD529A"/>
    <w:rsid w:val="00AD574D"/>
    <w:rsid w:val="00AD5A90"/>
    <w:rsid w:val="00AD61B8"/>
    <w:rsid w:val="00AD6CC0"/>
    <w:rsid w:val="00AD7596"/>
    <w:rsid w:val="00AD7E3C"/>
    <w:rsid w:val="00AE1766"/>
    <w:rsid w:val="00AE3A55"/>
    <w:rsid w:val="00AE5466"/>
    <w:rsid w:val="00AE65BC"/>
    <w:rsid w:val="00AE68E9"/>
    <w:rsid w:val="00AF08AE"/>
    <w:rsid w:val="00AF44E6"/>
    <w:rsid w:val="00AF5968"/>
    <w:rsid w:val="00AF7016"/>
    <w:rsid w:val="00B10199"/>
    <w:rsid w:val="00B106F3"/>
    <w:rsid w:val="00B1082B"/>
    <w:rsid w:val="00B10DB9"/>
    <w:rsid w:val="00B10EA2"/>
    <w:rsid w:val="00B13BEE"/>
    <w:rsid w:val="00B142F6"/>
    <w:rsid w:val="00B14801"/>
    <w:rsid w:val="00B17C9D"/>
    <w:rsid w:val="00B20CBB"/>
    <w:rsid w:val="00B226F0"/>
    <w:rsid w:val="00B228E5"/>
    <w:rsid w:val="00B234D6"/>
    <w:rsid w:val="00B23A5E"/>
    <w:rsid w:val="00B24110"/>
    <w:rsid w:val="00B24776"/>
    <w:rsid w:val="00B24845"/>
    <w:rsid w:val="00B24C03"/>
    <w:rsid w:val="00B24ECD"/>
    <w:rsid w:val="00B27DFB"/>
    <w:rsid w:val="00B27F60"/>
    <w:rsid w:val="00B309A7"/>
    <w:rsid w:val="00B3375E"/>
    <w:rsid w:val="00B34CBD"/>
    <w:rsid w:val="00B35A5E"/>
    <w:rsid w:val="00B35C53"/>
    <w:rsid w:val="00B379AE"/>
    <w:rsid w:val="00B4173A"/>
    <w:rsid w:val="00B41E50"/>
    <w:rsid w:val="00B44C43"/>
    <w:rsid w:val="00B5319C"/>
    <w:rsid w:val="00B55B73"/>
    <w:rsid w:val="00B56046"/>
    <w:rsid w:val="00B563F3"/>
    <w:rsid w:val="00B56496"/>
    <w:rsid w:val="00B60830"/>
    <w:rsid w:val="00B61328"/>
    <w:rsid w:val="00B6686C"/>
    <w:rsid w:val="00B67BD6"/>
    <w:rsid w:val="00B71ABA"/>
    <w:rsid w:val="00B74D4E"/>
    <w:rsid w:val="00B74F9E"/>
    <w:rsid w:val="00B769EC"/>
    <w:rsid w:val="00B7711A"/>
    <w:rsid w:val="00B77B57"/>
    <w:rsid w:val="00B77EBE"/>
    <w:rsid w:val="00B80577"/>
    <w:rsid w:val="00B83827"/>
    <w:rsid w:val="00B83EE9"/>
    <w:rsid w:val="00B85EEC"/>
    <w:rsid w:val="00B9076F"/>
    <w:rsid w:val="00B90F7D"/>
    <w:rsid w:val="00B910D5"/>
    <w:rsid w:val="00B92103"/>
    <w:rsid w:val="00B92488"/>
    <w:rsid w:val="00B956AB"/>
    <w:rsid w:val="00B96A04"/>
    <w:rsid w:val="00B96AF3"/>
    <w:rsid w:val="00BA183C"/>
    <w:rsid w:val="00BA30C5"/>
    <w:rsid w:val="00BA521D"/>
    <w:rsid w:val="00BA5357"/>
    <w:rsid w:val="00BA71EC"/>
    <w:rsid w:val="00BB01EC"/>
    <w:rsid w:val="00BB0474"/>
    <w:rsid w:val="00BB073B"/>
    <w:rsid w:val="00BB0B3F"/>
    <w:rsid w:val="00BB107D"/>
    <w:rsid w:val="00BB3EF4"/>
    <w:rsid w:val="00BB4103"/>
    <w:rsid w:val="00BB46D3"/>
    <w:rsid w:val="00BB5456"/>
    <w:rsid w:val="00BB6F19"/>
    <w:rsid w:val="00BC1426"/>
    <w:rsid w:val="00BC4C56"/>
    <w:rsid w:val="00BC5097"/>
    <w:rsid w:val="00BD1FB2"/>
    <w:rsid w:val="00BD28AD"/>
    <w:rsid w:val="00BD2A49"/>
    <w:rsid w:val="00BD4FDE"/>
    <w:rsid w:val="00BD5F63"/>
    <w:rsid w:val="00BD78CD"/>
    <w:rsid w:val="00BE2BF5"/>
    <w:rsid w:val="00BE2F06"/>
    <w:rsid w:val="00BE43D6"/>
    <w:rsid w:val="00BE5616"/>
    <w:rsid w:val="00BE582C"/>
    <w:rsid w:val="00BF0071"/>
    <w:rsid w:val="00BF0D02"/>
    <w:rsid w:val="00BF1227"/>
    <w:rsid w:val="00BF291E"/>
    <w:rsid w:val="00BF47AB"/>
    <w:rsid w:val="00BF5D05"/>
    <w:rsid w:val="00C03C68"/>
    <w:rsid w:val="00C0501D"/>
    <w:rsid w:val="00C05495"/>
    <w:rsid w:val="00C1698E"/>
    <w:rsid w:val="00C16B71"/>
    <w:rsid w:val="00C20690"/>
    <w:rsid w:val="00C21587"/>
    <w:rsid w:val="00C228F3"/>
    <w:rsid w:val="00C25A28"/>
    <w:rsid w:val="00C30AE5"/>
    <w:rsid w:val="00C40B60"/>
    <w:rsid w:val="00C427B0"/>
    <w:rsid w:val="00C46548"/>
    <w:rsid w:val="00C47A8D"/>
    <w:rsid w:val="00C50A55"/>
    <w:rsid w:val="00C52C06"/>
    <w:rsid w:val="00C54742"/>
    <w:rsid w:val="00C56544"/>
    <w:rsid w:val="00C617E8"/>
    <w:rsid w:val="00C62A0E"/>
    <w:rsid w:val="00C701F9"/>
    <w:rsid w:val="00C7080B"/>
    <w:rsid w:val="00C71EF0"/>
    <w:rsid w:val="00C72F67"/>
    <w:rsid w:val="00C7558B"/>
    <w:rsid w:val="00C80906"/>
    <w:rsid w:val="00C822F3"/>
    <w:rsid w:val="00C843A4"/>
    <w:rsid w:val="00C84BD5"/>
    <w:rsid w:val="00C85862"/>
    <w:rsid w:val="00C90752"/>
    <w:rsid w:val="00C91A40"/>
    <w:rsid w:val="00C92F7C"/>
    <w:rsid w:val="00C950AD"/>
    <w:rsid w:val="00C963E1"/>
    <w:rsid w:val="00C9760B"/>
    <w:rsid w:val="00C97724"/>
    <w:rsid w:val="00CA1A28"/>
    <w:rsid w:val="00CA2626"/>
    <w:rsid w:val="00CA4F9B"/>
    <w:rsid w:val="00CA552D"/>
    <w:rsid w:val="00CA5B17"/>
    <w:rsid w:val="00CA6CD3"/>
    <w:rsid w:val="00CB27EF"/>
    <w:rsid w:val="00CB2D92"/>
    <w:rsid w:val="00CB6CF0"/>
    <w:rsid w:val="00CB7DB5"/>
    <w:rsid w:val="00CC00CE"/>
    <w:rsid w:val="00CC3447"/>
    <w:rsid w:val="00CC376A"/>
    <w:rsid w:val="00CC4383"/>
    <w:rsid w:val="00CC724F"/>
    <w:rsid w:val="00CD0981"/>
    <w:rsid w:val="00CD4BA7"/>
    <w:rsid w:val="00CD6B83"/>
    <w:rsid w:val="00CD7B13"/>
    <w:rsid w:val="00CE0B5D"/>
    <w:rsid w:val="00CE1CDD"/>
    <w:rsid w:val="00CE1E5E"/>
    <w:rsid w:val="00CE294E"/>
    <w:rsid w:val="00CE2C6D"/>
    <w:rsid w:val="00CE638A"/>
    <w:rsid w:val="00CF3193"/>
    <w:rsid w:val="00CF3561"/>
    <w:rsid w:val="00CF4619"/>
    <w:rsid w:val="00CF47AB"/>
    <w:rsid w:val="00CF5232"/>
    <w:rsid w:val="00CF57EE"/>
    <w:rsid w:val="00CF7A00"/>
    <w:rsid w:val="00CF7C7C"/>
    <w:rsid w:val="00D01698"/>
    <w:rsid w:val="00D03C41"/>
    <w:rsid w:val="00D03F24"/>
    <w:rsid w:val="00D05402"/>
    <w:rsid w:val="00D056A0"/>
    <w:rsid w:val="00D06382"/>
    <w:rsid w:val="00D06551"/>
    <w:rsid w:val="00D07BA8"/>
    <w:rsid w:val="00D11FE2"/>
    <w:rsid w:val="00D13387"/>
    <w:rsid w:val="00D134A6"/>
    <w:rsid w:val="00D146BB"/>
    <w:rsid w:val="00D16758"/>
    <w:rsid w:val="00D22634"/>
    <w:rsid w:val="00D22F40"/>
    <w:rsid w:val="00D25A97"/>
    <w:rsid w:val="00D30ED0"/>
    <w:rsid w:val="00D3216C"/>
    <w:rsid w:val="00D374F7"/>
    <w:rsid w:val="00D3793D"/>
    <w:rsid w:val="00D4064F"/>
    <w:rsid w:val="00D41F91"/>
    <w:rsid w:val="00D42518"/>
    <w:rsid w:val="00D430CD"/>
    <w:rsid w:val="00D43252"/>
    <w:rsid w:val="00D45F64"/>
    <w:rsid w:val="00D47878"/>
    <w:rsid w:val="00D503A7"/>
    <w:rsid w:val="00D51FD7"/>
    <w:rsid w:val="00D523FA"/>
    <w:rsid w:val="00D5396A"/>
    <w:rsid w:val="00D54799"/>
    <w:rsid w:val="00D55CD6"/>
    <w:rsid w:val="00D56678"/>
    <w:rsid w:val="00D60D77"/>
    <w:rsid w:val="00D61904"/>
    <w:rsid w:val="00D61BAB"/>
    <w:rsid w:val="00D62921"/>
    <w:rsid w:val="00D63FCE"/>
    <w:rsid w:val="00D647DB"/>
    <w:rsid w:val="00D66056"/>
    <w:rsid w:val="00D662AE"/>
    <w:rsid w:val="00D66D58"/>
    <w:rsid w:val="00D67620"/>
    <w:rsid w:val="00D67C68"/>
    <w:rsid w:val="00D70F57"/>
    <w:rsid w:val="00D71611"/>
    <w:rsid w:val="00D71CBE"/>
    <w:rsid w:val="00D72798"/>
    <w:rsid w:val="00D74E35"/>
    <w:rsid w:val="00D767D2"/>
    <w:rsid w:val="00D774DB"/>
    <w:rsid w:val="00D803CD"/>
    <w:rsid w:val="00D83D52"/>
    <w:rsid w:val="00D84A24"/>
    <w:rsid w:val="00D85512"/>
    <w:rsid w:val="00D87BAB"/>
    <w:rsid w:val="00D91A21"/>
    <w:rsid w:val="00D9213F"/>
    <w:rsid w:val="00D92A96"/>
    <w:rsid w:val="00D93BBB"/>
    <w:rsid w:val="00D95BAC"/>
    <w:rsid w:val="00DA252A"/>
    <w:rsid w:val="00DA3473"/>
    <w:rsid w:val="00DA3E7C"/>
    <w:rsid w:val="00DA58AB"/>
    <w:rsid w:val="00DA5E1C"/>
    <w:rsid w:val="00DB1F89"/>
    <w:rsid w:val="00DB5705"/>
    <w:rsid w:val="00DB6E99"/>
    <w:rsid w:val="00DC28EB"/>
    <w:rsid w:val="00DC4BB5"/>
    <w:rsid w:val="00DC598D"/>
    <w:rsid w:val="00DC74B0"/>
    <w:rsid w:val="00DD2147"/>
    <w:rsid w:val="00DD30D8"/>
    <w:rsid w:val="00DD31FB"/>
    <w:rsid w:val="00DD3D30"/>
    <w:rsid w:val="00DD3EB0"/>
    <w:rsid w:val="00DD548E"/>
    <w:rsid w:val="00DD57C2"/>
    <w:rsid w:val="00DD6A9B"/>
    <w:rsid w:val="00DE449B"/>
    <w:rsid w:val="00DE4BCE"/>
    <w:rsid w:val="00DE590A"/>
    <w:rsid w:val="00DE6969"/>
    <w:rsid w:val="00DE7D0B"/>
    <w:rsid w:val="00DF3818"/>
    <w:rsid w:val="00DF42A3"/>
    <w:rsid w:val="00E012D5"/>
    <w:rsid w:val="00E023BA"/>
    <w:rsid w:val="00E02CF1"/>
    <w:rsid w:val="00E0336E"/>
    <w:rsid w:val="00E035AA"/>
    <w:rsid w:val="00E1099D"/>
    <w:rsid w:val="00E12F27"/>
    <w:rsid w:val="00E137D8"/>
    <w:rsid w:val="00E15EA3"/>
    <w:rsid w:val="00E16ECE"/>
    <w:rsid w:val="00E17559"/>
    <w:rsid w:val="00E17E82"/>
    <w:rsid w:val="00E20EDE"/>
    <w:rsid w:val="00E2203F"/>
    <w:rsid w:val="00E2288A"/>
    <w:rsid w:val="00E243C8"/>
    <w:rsid w:val="00E24DE1"/>
    <w:rsid w:val="00E2668E"/>
    <w:rsid w:val="00E27016"/>
    <w:rsid w:val="00E272B2"/>
    <w:rsid w:val="00E31D2C"/>
    <w:rsid w:val="00E34B53"/>
    <w:rsid w:val="00E358D7"/>
    <w:rsid w:val="00E364D3"/>
    <w:rsid w:val="00E3733D"/>
    <w:rsid w:val="00E42D0A"/>
    <w:rsid w:val="00E443DB"/>
    <w:rsid w:val="00E45826"/>
    <w:rsid w:val="00E46491"/>
    <w:rsid w:val="00E47C2C"/>
    <w:rsid w:val="00E52587"/>
    <w:rsid w:val="00E55100"/>
    <w:rsid w:val="00E56D6B"/>
    <w:rsid w:val="00E57653"/>
    <w:rsid w:val="00E57716"/>
    <w:rsid w:val="00E57B32"/>
    <w:rsid w:val="00E61F04"/>
    <w:rsid w:val="00E62690"/>
    <w:rsid w:val="00E635A3"/>
    <w:rsid w:val="00E656B5"/>
    <w:rsid w:val="00E656FF"/>
    <w:rsid w:val="00E65CD9"/>
    <w:rsid w:val="00E65E6E"/>
    <w:rsid w:val="00E66713"/>
    <w:rsid w:val="00E67E8E"/>
    <w:rsid w:val="00E73FA5"/>
    <w:rsid w:val="00E76F56"/>
    <w:rsid w:val="00E77D6B"/>
    <w:rsid w:val="00E82169"/>
    <w:rsid w:val="00E91A96"/>
    <w:rsid w:val="00E930E8"/>
    <w:rsid w:val="00E93C72"/>
    <w:rsid w:val="00E95801"/>
    <w:rsid w:val="00E96816"/>
    <w:rsid w:val="00EA25CA"/>
    <w:rsid w:val="00EA2A28"/>
    <w:rsid w:val="00EA31C0"/>
    <w:rsid w:val="00EA6AFB"/>
    <w:rsid w:val="00EA7074"/>
    <w:rsid w:val="00EA7227"/>
    <w:rsid w:val="00EB0819"/>
    <w:rsid w:val="00EB0E70"/>
    <w:rsid w:val="00EB1DA1"/>
    <w:rsid w:val="00EB238E"/>
    <w:rsid w:val="00EB4C9C"/>
    <w:rsid w:val="00EB7433"/>
    <w:rsid w:val="00EB7441"/>
    <w:rsid w:val="00EB7583"/>
    <w:rsid w:val="00EC0018"/>
    <w:rsid w:val="00EC0F1E"/>
    <w:rsid w:val="00EC31B7"/>
    <w:rsid w:val="00EC3DB7"/>
    <w:rsid w:val="00EC57FA"/>
    <w:rsid w:val="00EC587E"/>
    <w:rsid w:val="00EC7835"/>
    <w:rsid w:val="00EC7DAB"/>
    <w:rsid w:val="00ED0D55"/>
    <w:rsid w:val="00ED20E9"/>
    <w:rsid w:val="00ED2FA5"/>
    <w:rsid w:val="00ED31A5"/>
    <w:rsid w:val="00ED5A5F"/>
    <w:rsid w:val="00ED5D8E"/>
    <w:rsid w:val="00ED651C"/>
    <w:rsid w:val="00ED76E1"/>
    <w:rsid w:val="00EE0323"/>
    <w:rsid w:val="00EE119A"/>
    <w:rsid w:val="00EE1E82"/>
    <w:rsid w:val="00EE30CE"/>
    <w:rsid w:val="00EE4870"/>
    <w:rsid w:val="00EE4981"/>
    <w:rsid w:val="00EE6D1E"/>
    <w:rsid w:val="00EF1AC2"/>
    <w:rsid w:val="00EF426C"/>
    <w:rsid w:val="00EF4BF2"/>
    <w:rsid w:val="00EF50ED"/>
    <w:rsid w:val="00EF523A"/>
    <w:rsid w:val="00EF569E"/>
    <w:rsid w:val="00EF5843"/>
    <w:rsid w:val="00EF703D"/>
    <w:rsid w:val="00EF7164"/>
    <w:rsid w:val="00F01943"/>
    <w:rsid w:val="00F01EFF"/>
    <w:rsid w:val="00F06152"/>
    <w:rsid w:val="00F06334"/>
    <w:rsid w:val="00F073F4"/>
    <w:rsid w:val="00F11031"/>
    <w:rsid w:val="00F11358"/>
    <w:rsid w:val="00F11430"/>
    <w:rsid w:val="00F115B0"/>
    <w:rsid w:val="00F12C1C"/>
    <w:rsid w:val="00F13B06"/>
    <w:rsid w:val="00F20BBF"/>
    <w:rsid w:val="00F20C7F"/>
    <w:rsid w:val="00F21D9E"/>
    <w:rsid w:val="00F24DE6"/>
    <w:rsid w:val="00F26A8E"/>
    <w:rsid w:val="00F30CF6"/>
    <w:rsid w:val="00F31EB4"/>
    <w:rsid w:val="00F3428C"/>
    <w:rsid w:val="00F34AF5"/>
    <w:rsid w:val="00F34B57"/>
    <w:rsid w:val="00F372B8"/>
    <w:rsid w:val="00F37F75"/>
    <w:rsid w:val="00F4145F"/>
    <w:rsid w:val="00F433AE"/>
    <w:rsid w:val="00F53C55"/>
    <w:rsid w:val="00F54362"/>
    <w:rsid w:val="00F62837"/>
    <w:rsid w:val="00F631BD"/>
    <w:rsid w:val="00F653B4"/>
    <w:rsid w:val="00F65E9B"/>
    <w:rsid w:val="00F67E31"/>
    <w:rsid w:val="00F73304"/>
    <w:rsid w:val="00F74108"/>
    <w:rsid w:val="00F75BCC"/>
    <w:rsid w:val="00F800AA"/>
    <w:rsid w:val="00F806ED"/>
    <w:rsid w:val="00F80EE0"/>
    <w:rsid w:val="00F82E46"/>
    <w:rsid w:val="00F86743"/>
    <w:rsid w:val="00F87240"/>
    <w:rsid w:val="00F9115A"/>
    <w:rsid w:val="00F9386E"/>
    <w:rsid w:val="00F94A8F"/>
    <w:rsid w:val="00F95847"/>
    <w:rsid w:val="00F95A2A"/>
    <w:rsid w:val="00F97C70"/>
    <w:rsid w:val="00FA206E"/>
    <w:rsid w:val="00FA359F"/>
    <w:rsid w:val="00FA36DC"/>
    <w:rsid w:val="00FA37CF"/>
    <w:rsid w:val="00FA3BDB"/>
    <w:rsid w:val="00FA459C"/>
    <w:rsid w:val="00FB0E6D"/>
    <w:rsid w:val="00FB6560"/>
    <w:rsid w:val="00FC1277"/>
    <w:rsid w:val="00FC1AF6"/>
    <w:rsid w:val="00FD21E7"/>
    <w:rsid w:val="00FD2398"/>
    <w:rsid w:val="00FD4BDF"/>
    <w:rsid w:val="00FD4F46"/>
    <w:rsid w:val="00FD6D1A"/>
    <w:rsid w:val="00FE370A"/>
    <w:rsid w:val="00FE4851"/>
    <w:rsid w:val="00FE77D0"/>
    <w:rsid w:val="00FE796E"/>
    <w:rsid w:val="00FF14CE"/>
    <w:rsid w:val="00FF4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97E9"/>
  <w14:defaultImageDpi w14:val="32767"/>
  <w15:chartTrackingRefBased/>
  <w15:docId w15:val="{582F38DD-2619-EA41-977D-4FD44FC9C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09A9"/>
    <w:pPr>
      <w:keepNext/>
      <w:keepLines/>
      <w:spacing w:before="240"/>
      <w:outlineLvl w:val="0"/>
    </w:pPr>
    <w:rPr>
      <w:rFonts w:eastAsiaTheme="majorEastAsia" w:cstheme="majorBidi"/>
      <w:i/>
      <w:sz w:val="32"/>
      <w:szCs w:val="32"/>
    </w:rPr>
  </w:style>
  <w:style w:type="paragraph" w:styleId="Heading2">
    <w:name w:val="heading 2"/>
    <w:basedOn w:val="Normal"/>
    <w:next w:val="Normal"/>
    <w:link w:val="Heading2Char"/>
    <w:uiPriority w:val="9"/>
    <w:unhideWhenUsed/>
    <w:qFormat/>
    <w:rsid w:val="003358EF"/>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4F3E22"/>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1509A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A72"/>
    <w:pPr>
      <w:ind w:left="720"/>
      <w:contextualSpacing/>
    </w:pPr>
  </w:style>
  <w:style w:type="paragraph" w:styleId="FootnoteText">
    <w:name w:val="footnote text"/>
    <w:basedOn w:val="Normal"/>
    <w:link w:val="FootnoteTextChar"/>
    <w:uiPriority w:val="99"/>
    <w:unhideWhenUsed/>
    <w:rsid w:val="005B7B95"/>
    <w:rPr>
      <w:sz w:val="20"/>
      <w:szCs w:val="20"/>
    </w:rPr>
  </w:style>
  <w:style w:type="character" w:customStyle="1" w:styleId="FootnoteTextChar">
    <w:name w:val="Footnote Text Char"/>
    <w:basedOn w:val="DefaultParagraphFont"/>
    <w:link w:val="FootnoteText"/>
    <w:uiPriority w:val="99"/>
    <w:rsid w:val="005B7B95"/>
    <w:rPr>
      <w:sz w:val="20"/>
      <w:szCs w:val="20"/>
    </w:rPr>
  </w:style>
  <w:style w:type="character" w:styleId="FootnoteReference">
    <w:name w:val="footnote reference"/>
    <w:basedOn w:val="DefaultParagraphFont"/>
    <w:uiPriority w:val="99"/>
    <w:unhideWhenUsed/>
    <w:rsid w:val="005B7B95"/>
    <w:rPr>
      <w:vertAlign w:val="superscript"/>
    </w:rPr>
  </w:style>
  <w:style w:type="character" w:styleId="CommentReference">
    <w:name w:val="annotation reference"/>
    <w:basedOn w:val="DefaultParagraphFont"/>
    <w:uiPriority w:val="99"/>
    <w:semiHidden/>
    <w:unhideWhenUsed/>
    <w:rsid w:val="0041524C"/>
    <w:rPr>
      <w:sz w:val="18"/>
      <w:szCs w:val="18"/>
    </w:rPr>
  </w:style>
  <w:style w:type="paragraph" w:styleId="CommentText">
    <w:name w:val="annotation text"/>
    <w:basedOn w:val="Normal"/>
    <w:link w:val="CommentTextChar"/>
    <w:uiPriority w:val="99"/>
    <w:unhideWhenUsed/>
    <w:rsid w:val="0041524C"/>
    <w:rPr>
      <w:szCs w:val="24"/>
    </w:rPr>
  </w:style>
  <w:style w:type="character" w:customStyle="1" w:styleId="CommentTextChar">
    <w:name w:val="Comment Text Char"/>
    <w:basedOn w:val="DefaultParagraphFont"/>
    <w:link w:val="CommentText"/>
    <w:uiPriority w:val="99"/>
    <w:rsid w:val="0041524C"/>
    <w:rPr>
      <w:szCs w:val="24"/>
    </w:rPr>
  </w:style>
  <w:style w:type="paragraph" w:styleId="BalloonText">
    <w:name w:val="Balloon Text"/>
    <w:basedOn w:val="Normal"/>
    <w:link w:val="BalloonTextChar"/>
    <w:uiPriority w:val="99"/>
    <w:semiHidden/>
    <w:unhideWhenUsed/>
    <w:rsid w:val="0041524C"/>
    <w:rPr>
      <w:sz w:val="18"/>
      <w:szCs w:val="18"/>
    </w:rPr>
  </w:style>
  <w:style w:type="character" w:customStyle="1" w:styleId="BalloonTextChar">
    <w:name w:val="Balloon Text Char"/>
    <w:basedOn w:val="DefaultParagraphFont"/>
    <w:link w:val="BalloonText"/>
    <w:uiPriority w:val="99"/>
    <w:semiHidden/>
    <w:rsid w:val="0041524C"/>
    <w:rPr>
      <w:sz w:val="18"/>
      <w:szCs w:val="18"/>
    </w:rPr>
  </w:style>
  <w:style w:type="paragraph" w:styleId="CommentSubject">
    <w:name w:val="annotation subject"/>
    <w:basedOn w:val="CommentText"/>
    <w:next w:val="CommentText"/>
    <w:link w:val="CommentSubjectChar"/>
    <w:uiPriority w:val="99"/>
    <w:semiHidden/>
    <w:unhideWhenUsed/>
    <w:rsid w:val="00EA31C0"/>
    <w:rPr>
      <w:b/>
      <w:bCs/>
      <w:sz w:val="20"/>
      <w:szCs w:val="20"/>
    </w:rPr>
  </w:style>
  <w:style w:type="character" w:customStyle="1" w:styleId="CommentSubjectChar">
    <w:name w:val="Comment Subject Char"/>
    <w:basedOn w:val="CommentTextChar"/>
    <w:link w:val="CommentSubject"/>
    <w:uiPriority w:val="99"/>
    <w:semiHidden/>
    <w:rsid w:val="00EA31C0"/>
    <w:rPr>
      <w:b/>
      <w:bCs/>
      <w:sz w:val="20"/>
      <w:szCs w:val="20"/>
    </w:rPr>
  </w:style>
  <w:style w:type="paragraph" w:styleId="Bibliography">
    <w:name w:val="Bibliography"/>
    <w:basedOn w:val="Normal"/>
    <w:next w:val="Normal"/>
    <w:uiPriority w:val="37"/>
    <w:unhideWhenUsed/>
    <w:rsid w:val="00051D61"/>
    <w:pPr>
      <w:ind w:left="720" w:hanging="720"/>
    </w:pPr>
  </w:style>
  <w:style w:type="paragraph" w:styleId="Revision">
    <w:name w:val="Revision"/>
    <w:hidden/>
    <w:uiPriority w:val="99"/>
    <w:semiHidden/>
    <w:rsid w:val="00B769EC"/>
  </w:style>
  <w:style w:type="paragraph" w:styleId="Subtitle">
    <w:name w:val="Subtitle"/>
    <w:basedOn w:val="Normal"/>
    <w:next w:val="Normal"/>
    <w:link w:val="SubtitleChar"/>
    <w:uiPriority w:val="11"/>
    <w:qFormat/>
    <w:rsid w:val="0030231B"/>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30231B"/>
    <w:rPr>
      <w:rFonts w:asciiTheme="minorHAnsi" w:eastAsiaTheme="minorEastAsia" w:hAnsiTheme="minorHAnsi" w:cstheme="minorBidi"/>
      <w:color w:val="5A5A5A" w:themeColor="text1" w:themeTint="A5"/>
      <w:spacing w:val="15"/>
      <w:sz w:val="22"/>
    </w:rPr>
  </w:style>
  <w:style w:type="character" w:customStyle="1" w:styleId="Heading2Char">
    <w:name w:val="Heading 2 Char"/>
    <w:basedOn w:val="DefaultParagraphFont"/>
    <w:link w:val="Heading2"/>
    <w:uiPriority w:val="9"/>
    <w:rsid w:val="003358EF"/>
    <w:rPr>
      <w:rFonts w:eastAsiaTheme="majorEastAsia" w:cstheme="majorBidi"/>
      <w:b/>
      <w:sz w:val="26"/>
      <w:szCs w:val="26"/>
    </w:rPr>
  </w:style>
  <w:style w:type="character" w:customStyle="1" w:styleId="Heading1Char">
    <w:name w:val="Heading 1 Char"/>
    <w:basedOn w:val="DefaultParagraphFont"/>
    <w:link w:val="Heading1"/>
    <w:uiPriority w:val="9"/>
    <w:rsid w:val="001509A9"/>
    <w:rPr>
      <w:rFonts w:eastAsiaTheme="majorEastAsia" w:cstheme="majorBidi"/>
      <w:i/>
      <w:sz w:val="32"/>
      <w:szCs w:val="32"/>
    </w:rPr>
  </w:style>
  <w:style w:type="character" w:customStyle="1" w:styleId="Heading3Char">
    <w:name w:val="Heading 3 Char"/>
    <w:basedOn w:val="DefaultParagraphFont"/>
    <w:link w:val="Heading3"/>
    <w:uiPriority w:val="9"/>
    <w:rsid w:val="004F3E22"/>
    <w:rPr>
      <w:rFonts w:asciiTheme="majorHAnsi" w:eastAsiaTheme="majorEastAsia" w:hAnsiTheme="majorHAnsi" w:cstheme="majorBidi"/>
      <w:color w:val="1F3763" w:themeColor="accent1" w:themeShade="7F"/>
      <w:szCs w:val="24"/>
    </w:rPr>
  </w:style>
  <w:style w:type="paragraph" w:styleId="Footer">
    <w:name w:val="footer"/>
    <w:basedOn w:val="Normal"/>
    <w:link w:val="FooterChar"/>
    <w:uiPriority w:val="99"/>
    <w:unhideWhenUsed/>
    <w:rsid w:val="00091C24"/>
    <w:pPr>
      <w:tabs>
        <w:tab w:val="center" w:pos="4680"/>
        <w:tab w:val="right" w:pos="9360"/>
      </w:tabs>
    </w:pPr>
  </w:style>
  <w:style w:type="character" w:customStyle="1" w:styleId="FooterChar">
    <w:name w:val="Footer Char"/>
    <w:basedOn w:val="DefaultParagraphFont"/>
    <w:link w:val="Footer"/>
    <w:uiPriority w:val="99"/>
    <w:rsid w:val="00091C24"/>
  </w:style>
  <w:style w:type="character" w:styleId="PageNumber">
    <w:name w:val="page number"/>
    <w:basedOn w:val="DefaultParagraphFont"/>
    <w:uiPriority w:val="99"/>
    <w:semiHidden/>
    <w:unhideWhenUsed/>
    <w:rsid w:val="00091C24"/>
  </w:style>
  <w:style w:type="paragraph" w:styleId="Header">
    <w:name w:val="header"/>
    <w:basedOn w:val="Normal"/>
    <w:link w:val="HeaderChar"/>
    <w:uiPriority w:val="99"/>
    <w:unhideWhenUsed/>
    <w:rsid w:val="00091C24"/>
    <w:pPr>
      <w:tabs>
        <w:tab w:val="center" w:pos="4680"/>
        <w:tab w:val="right" w:pos="9360"/>
      </w:tabs>
    </w:pPr>
  </w:style>
  <w:style w:type="character" w:customStyle="1" w:styleId="HeaderChar">
    <w:name w:val="Header Char"/>
    <w:basedOn w:val="DefaultParagraphFont"/>
    <w:link w:val="Header"/>
    <w:uiPriority w:val="99"/>
    <w:rsid w:val="00091C24"/>
  </w:style>
  <w:style w:type="paragraph" w:customStyle="1" w:styleId="xmsonormal">
    <w:name w:val="x_msonormal"/>
    <w:basedOn w:val="Normal"/>
    <w:rsid w:val="005C418F"/>
    <w:pPr>
      <w:spacing w:before="100" w:beforeAutospacing="1" w:after="100" w:afterAutospacing="1"/>
    </w:pPr>
    <w:rPr>
      <w:rFonts w:eastAsia="Times New Roman"/>
      <w:color w:val="auto"/>
      <w:szCs w:val="24"/>
    </w:rPr>
  </w:style>
  <w:style w:type="paragraph" w:styleId="TOC1">
    <w:name w:val="toc 1"/>
    <w:basedOn w:val="Normal"/>
    <w:next w:val="Normal"/>
    <w:autoRedefine/>
    <w:uiPriority w:val="39"/>
    <w:unhideWhenUsed/>
    <w:rsid w:val="00EC3DB7"/>
    <w:pPr>
      <w:tabs>
        <w:tab w:val="right" w:pos="9350"/>
      </w:tabs>
      <w:spacing w:before="360" w:after="360"/>
    </w:pPr>
    <w:rPr>
      <w:rFonts w:asciiTheme="minorHAnsi" w:hAnsiTheme="minorHAnsi" w:cstheme="minorHAnsi"/>
      <w:b/>
      <w:bCs/>
      <w:caps/>
      <w:sz w:val="22"/>
      <w:u w:val="single"/>
    </w:rPr>
  </w:style>
  <w:style w:type="paragraph" w:styleId="TOC2">
    <w:name w:val="toc 2"/>
    <w:basedOn w:val="Normal"/>
    <w:next w:val="Normal"/>
    <w:autoRedefine/>
    <w:uiPriority w:val="39"/>
    <w:unhideWhenUsed/>
    <w:rsid w:val="00572A55"/>
    <w:rPr>
      <w:rFonts w:asciiTheme="minorHAnsi" w:hAnsiTheme="minorHAnsi" w:cstheme="minorHAnsi"/>
      <w:b/>
      <w:bCs/>
      <w:smallCaps/>
      <w:sz w:val="22"/>
    </w:rPr>
  </w:style>
  <w:style w:type="paragraph" w:styleId="TOC3">
    <w:name w:val="toc 3"/>
    <w:basedOn w:val="Normal"/>
    <w:next w:val="Normal"/>
    <w:autoRedefine/>
    <w:uiPriority w:val="39"/>
    <w:unhideWhenUsed/>
    <w:rsid w:val="001314AE"/>
    <w:pPr>
      <w:tabs>
        <w:tab w:val="right" w:pos="9350"/>
      </w:tabs>
    </w:pPr>
    <w:rPr>
      <w:rFonts w:asciiTheme="minorHAnsi" w:hAnsiTheme="minorHAnsi" w:cstheme="minorHAnsi"/>
      <w:smallCaps/>
      <w:sz w:val="22"/>
    </w:rPr>
  </w:style>
  <w:style w:type="paragraph" w:styleId="TOC4">
    <w:name w:val="toc 4"/>
    <w:basedOn w:val="Normal"/>
    <w:next w:val="Normal"/>
    <w:autoRedefine/>
    <w:uiPriority w:val="39"/>
    <w:unhideWhenUsed/>
    <w:rsid w:val="00572A55"/>
    <w:rPr>
      <w:rFonts w:asciiTheme="minorHAnsi" w:hAnsiTheme="minorHAnsi" w:cstheme="minorHAnsi"/>
      <w:sz w:val="22"/>
    </w:rPr>
  </w:style>
  <w:style w:type="paragraph" w:styleId="TOC5">
    <w:name w:val="toc 5"/>
    <w:basedOn w:val="Normal"/>
    <w:next w:val="Normal"/>
    <w:autoRedefine/>
    <w:uiPriority w:val="39"/>
    <w:unhideWhenUsed/>
    <w:rsid w:val="00572A55"/>
    <w:rPr>
      <w:rFonts w:asciiTheme="minorHAnsi" w:hAnsiTheme="minorHAnsi" w:cstheme="minorHAnsi"/>
      <w:sz w:val="22"/>
    </w:rPr>
  </w:style>
  <w:style w:type="paragraph" w:styleId="TOC6">
    <w:name w:val="toc 6"/>
    <w:basedOn w:val="Normal"/>
    <w:next w:val="Normal"/>
    <w:autoRedefine/>
    <w:uiPriority w:val="39"/>
    <w:unhideWhenUsed/>
    <w:rsid w:val="00572A55"/>
    <w:rPr>
      <w:rFonts w:asciiTheme="minorHAnsi" w:hAnsiTheme="minorHAnsi" w:cstheme="minorHAnsi"/>
      <w:sz w:val="22"/>
    </w:rPr>
  </w:style>
  <w:style w:type="paragraph" w:styleId="TOC7">
    <w:name w:val="toc 7"/>
    <w:basedOn w:val="Normal"/>
    <w:next w:val="Normal"/>
    <w:autoRedefine/>
    <w:uiPriority w:val="39"/>
    <w:unhideWhenUsed/>
    <w:rsid w:val="00572A55"/>
    <w:rPr>
      <w:rFonts w:asciiTheme="minorHAnsi" w:hAnsiTheme="minorHAnsi" w:cstheme="minorHAnsi"/>
      <w:sz w:val="22"/>
    </w:rPr>
  </w:style>
  <w:style w:type="paragraph" w:styleId="TOC8">
    <w:name w:val="toc 8"/>
    <w:basedOn w:val="Normal"/>
    <w:next w:val="Normal"/>
    <w:autoRedefine/>
    <w:uiPriority w:val="39"/>
    <w:unhideWhenUsed/>
    <w:rsid w:val="00572A55"/>
    <w:rPr>
      <w:rFonts w:asciiTheme="minorHAnsi" w:hAnsiTheme="minorHAnsi" w:cstheme="minorHAnsi"/>
      <w:sz w:val="22"/>
    </w:rPr>
  </w:style>
  <w:style w:type="paragraph" w:styleId="TOC9">
    <w:name w:val="toc 9"/>
    <w:basedOn w:val="Normal"/>
    <w:next w:val="Normal"/>
    <w:autoRedefine/>
    <w:uiPriority w:val="39"/>
    <w:unhideWhenUsed/>
    <w:rsid w:val="00572A55"/>
    <w:rPr>
      <w:rFonts w:asciiTheme="minorHAnsi" w:hAnsiTheme="minorHAnsi" w:cstheme="minorHAnsi"/>
      <w:sz w:val="22"/>
    </w:rPr>
  </w:style>
  <w:style w:type="character" w:styleId="Hyperlink">
    <w:name w:val="Hyperlink"/>
    <w:basedOn w:val="DefaultParagraphFont"/>
    <w:uiPriority w:val="99"/>
    <w:unhideWhenUsed/>
    <w:rsid w:val="00572A55"/>
    <w:rPr>
      <w:color w:val="0563C1" w:themeColor="hyperlink"/>
      <w:u w:val="single"/>
    </w:rPr>
  </w:style>
  <w:style w:type="paragraph" w:customStyle="1" w:styleId="css-1i0edl6">
    <w:name w:val="css-1i0edl6"/>
    <w:basedOn w:val="Normal"/>
    <w:rsid w:val="00C1698E"/>
    <w:pPr>
      <w:spacing w:before="100" w:beforeAutospacing="1" w:after="100" w:afterAutospacing="1"/>
    </w:pPr>
    <w:rPr>
      <w:rFonts w:eastAsia="Times New Roman"/>
      <w:color w:val="auto"/>
      <w:szCs w:val="24"/>
    </w:rPr>
  </w:style>
  <w:style w:type="character" w:styleId="EndnoteReference">
    <w:name w:val="endnote reference"/>
    <w:basedOn w:val="DefaultParagraphFont"/>
    <w:uiPriority w:val="99"/>
    <w:semiHidden/>
    <w:unhideWhenUsed/>
    <w:rsid w:val="00036310"/>
    <w:rPr>
      <w:vertAlign w:val="superscript"/>
    </w:rPr>
  </w:style>
  <w:style w:type="paragraph" w:styleId="NormalWeb">
    <w:name w:val="Normal (Web)"/>
    <w:basedOn w:val="Normal"/>
    <w:uiPriority w:val="99"/>
    <w:unhideWhenUsed/>
    <w:rsid w:val="00A5099E"/>
    <w:pPr>
      <w:spacing w:before="100" w:beforeAutospacing="1" w:after="100" w:afterAutospacing="1"/>
    </w:pPr>
    <w:rPr>
      <w:rFonts w:eastAsia="Times New Roman"/>
      <w:color w:val="auto"/>
      <w:szCs w:val="24"/>
    </w:rPr>
  </w:style>
  <w:style w:type="character" w:customStyle="1" w:styleId="bibitemspan">
    <w:name w:val="bibitemspan"/>
    <w:basedOn w:val="DefaultParagraphFont"/>
    <w:rsid w:val="00A5099E"/>
  </w:style>
  <w:style w:type="character" w:styleId="Emphasis">
    <w:name w:val="Emphasis"/>
    <w:basedOn w:val="DefaultParagraphFont"/>
    <w:uiPriority w:val="20"/>
    <w:qFormat/>
    <w:rsid w:val="00ED5D8E"/>
    <w:rPr>
      <w:i/>
      <w:iCs/>
    </w:rPr>
  </w:style>
  <w:style w:type="character" w:styleId="Strong">
    <w:name w:val="Strong"/>
    <w:basedOn w:val="DefaultParagraphFont"/>
    <w:uiPriority w:val="22"/>
    <w:qFormat/>
    <w:rsid w:val="00ED5D8E"/>
    <w:rPr>
      <w:b/>
      <w:bCs/>
    </w:rPr>
  </w:style>
  <w:style w:type="character" w:customStyle="1" w:styleId="Heading4Char">
    <w:name w:val="Heading 4 Char"/>
    <w:basedOn w:val="DefaultParagraphFont"/>
    <w:link w:val="Heading4"/>
    <w:uiPriority w:val="9"/>
    <w:rsid w:val="001509A9"/>
    <w:rPr>
      <w:rFonts w:asciiTheme="majorHAnsi" w:eastAsiaTheme="majorEastAsia" w:hAnsiTheme="majorHAnsi" w:cstheme="majorBidi"/>
      <w:i/>
      <w:iCs/>
      <w:color w:val="2F5496" w:themeColor="accent1" w:themeShade="BF"/>
    </w:rPr>
  </w:style>
  <w:style w:type="paragraph" w:styleId="NoSpacing">
    <w:name w:val="No Spacing"/>
    <w:uiPriority w:val="1"/>
    <w:qFormat/>
    <w:rsid w:val="001509A9"/>
  </w:style>
  <w:style w:type="paragraph" w:styleId="Caption">
    <w:name w:val="caption"/>
    <w:basedOn w:val="Normal"/>
    <w:next w:val="Normal"/>
    <w:uiPriority w:val="35"/>
    <w:unhideWhenUsed/>
    <w:qFormat/>
    <w:rsid w:val="00DB1F8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9249">
      <w:bodyDiv w:val="1"/>
      <w:marLeft w:val="0"/>
      <w:marRight w:val="0"/>
      <w:marTop w:val="0"/>
      <w:marBottom w:val="0"/>
      <w:divBdr>
        <w:top w:val="none" w:sz="0" w:space="0" w:color="auto"/>
        <w:left w:val="none" w:sz="0" w:space="0" w:color="auto"/>
        <w:bottom w:val="none" w:sz="0" w:space="0" w:color="auto"/>
        <w:right w:val="none" w:sz="0" w:space="0" w:color="auto"/>
      </w:divBdr>
    </w:div>
    <w:div w:id="111678253">
      <w:bodyDiv w:val="1"/>
      <w:marLeft w:val="0"/>
      <w:marRight w:val="0"/>
      <w:marTop w:val="0"/>
      <w:marBottom w:val="0"/>
      <w:divBdr>
        <w:top w:val="none" w:sz="0" w:space="0" w:color="auto"/>
        <w:left w:val="none" w:sz="0" w:space="0" w:color="auto"/>
        <w:bottom w:val="none" w:sz="0" w:space="0" w:color="auto"/>
        <w:right w:val="none" w:sz="0" w:space="0" w:color="auto"/>
      </w:divBdr>
      <w:divsChild>
        <w:div w:id="421991792">
          <w:marLeft w:val="0"/>
          <w:marRight w:val="0"/>
          <w:marTop w:val="0"/>
          <w:marBottom w:val="0"/>
          <w:divBdr>
            <w:top w:val="none" w:sz="0" w:space="0" w:color="auto"/>
            <w:left w:val="none" w:sz="0" w:space="0" w:color="auto"/>
            <w:bottom w:val="none" w:sz="0" w:space="0" w:color="auto"/>
            <w:right w:val="none" w:sz="0" w:space="0" w:color="auto"/>
          </w:divBdr>
        </w:div>
        <w:div w:id="1646541602">
          <w:marLeft w:val="0"/>
          <w:marRight w:val="0"/>
          <w:marTop w:val="0"/>
          <w:marBottom w:val="0"/>
          <w:divBdr>
            <w:top w:val="none" w:sz="0" w:space="0" w:color="auto"/>
            <w:left w:val="none" w:sz="0" w:space="0" w:color="auto"/>
            <w:bottom w:val="none" w:sz="0" w:space="0" w:color="auto"/>
            <w:right w:val="none" w:sz="0" w:space="0" w:color="auto"/>
          </w:divBdr>
        </w:div>
      </w:divsChild>
    </w:div>
    <w:div w:id="149757571">
      <w:bodyDiv w:val="1"/>
      <w:marLeft w:val="0"/>
      <w:marRight w:val="0"/>
      <w:marTop w:val="0"/>
      <w:marBottom w:val="0"/>
      <w:divBdr>
        <w:top w:val="none" w:sz="0" w:space="0" w:color="auto"/>
        <w:left w:val="none" w:sz="0" w:space="0" w:color="auto"/>
        <w:bottom w:val="none" w:sz="0" w:space="0" w:color="auto"/>
        <w:right w:val="none" w:sz="0" w:space="0" w:color="auto"/>
      </w:divBdr>
    </w:div>
    <w:div w:id="154490424">
      <w:bodyDiv w:val="1"/>
      <w:marLeft w:val="0"/>
      <w:marRight w:val="0"/>
      <w:marTop w:val="0"/>
      <w:marBottom w:val="0"/>
      <w:divBdr>
        <w:top w:val="none" w:sz="0" w:space="0" w:color="auto"/>
        <w:left w:val="none" w:sz="0" w:space="0" w:color="auto"/>
        <w:bottom w:val="none" w:sz="0" w:space="0" w:color="auto"/>
        <w:right w:val="none" w:sz="0" w:space="0" w:color="auto"/>
      </w:divBdr>
    </w:div>
    <w:div w:id="279386669">
      <w:bodyDiv w:val="1"/>
      <w:marLeft w:val="0"/>
      <w:marRight w:val="0"/>
      <w:marTop w:val="0"/>
      <w:marBottom w:val="0"/>
      <w:divBdr>
        <w:top w:val="none" w:sz="0" w:space="0" w:color="auto"/>
        <w:left w:val="none" w:sz="0" w:space="0" w:color="auto"/>
        <w:bottom w:val="none" w:sz="0" w:space="0" w:color="auto"/>
        <w:right w:val="none" w:sz="0" w:space="0" w:color="auto"/>
      </w:divBdr>
    </w:div>
    <w:div w:id="287669703">
      <w:bodyDiv w:val="1"/>
      <w:marLeft w:val="0"/>
      <w:marRight w:val="0"/>
      <w:marTop w:val="0"/>
      <w:marBottom w:val="0"/>
      <w:divBdr>
        <w:top w:val="none" w:sz="0" w:space="0" w:color="auto"/>
        <w:left w:val="none" w:sz="0" w:space="0" w:color="auto"/>
        <w:bottom w:val="none" w:sz="0" w:space="0" w:color="auto"/>
        <w:right w:val="none" w:sz="0" w:space="0" w:color="auto"/>
      </w:divBdr>
    </w:div>
    <w:div w:id="326441267">
      <w:bodyDiv w:val="1"/>
      <w:marLeft w:val="0"/>
      <w:marRight w:val="0"/>
      <w:marTop w:val="0"/>
      <w:marBottom w:val="0"/>
      <w:divBdr>
        <w:top w:val="none" w:sz="0" w:space="0" w:color="auto"/>
        <w:left w:val="none" w:sz="0" w:space="0" w:color="auto"/>
        <w:bottom w:val="none" w:sz="0" w:space="0" w:color="auto"/>
        <w:right w:val="none" w:sz="0" w:space="0" w:color="auto"/>
      </w:divBdr>
    </w:div>
    <w:div w:id="483283596">
      <w:bodyDiv w:val="1"/>
      <w:marLeft w:val="0"/>
      <w:marRight w:val="0"/>
      <w:marTop w:val="0"/>
      <w:marBottom w:val="0"/>
      <w:divBdr>
        <w:top w:val="none" w:sz="0" w:space="0" w:color="auto"/>
        <w:left w:val="none" w:sz="0" w:space="0" w:color="auto"/>
        <w:bottom w:val="none" w:sz="0" w:space="0" w:color="auto"/>
        <w:right w:val="none" w:sz="0" w:space="0" w:color="auto"/>
      </w:divBdr>
    </w:div>
    <w:div w:id="487089092">
      <w:bodyDiv w:val="1"/>
      <w:marLeft w:val="0"/>
      <w:marRight w:val="0"/>
      <w:marTop w:val="0"/>
      <w:marBottom w:val="0"/>
      <w:divBdr>
        <w:top w:val="none" w:sz="0" w:space="0" w:color="auto"/>
        <w:left w:val="none" w:sz="0" w:space="0" w:color="auto"/>
        <w:bottom w:val="none" w:sz="0" w:space="0" w:color="auto"/>
        <w:right w:val="none" w:sz="0" w:space="0" w:color="auto"/>
      </w:divBdr>
    </w:div>
    <w:div w:id="647395245">
      <w:bodyDiv w:val="1"/>
      <w:marLeft w:val="0"/>
      <w:marRight w:val="0"/>
      <w:marTop w:val="0"/>
      <w:marBottom w:val="0"/>
      <w:divBdr>
        <w:top w:val="none" w:sz="0" w:space="0" w:color="auto"/>
        <w:left w:val="none" w:sz="0" w:space="0" w:color="auto"/>
        <w:bottom w:val="none" w:sz="0" w:space="0" w:color="auto"/>
        <w:right w:val="none" w:sz="0" w:space="0" w:color="auto"/>
      </w:divBdr>
    </w:div>
    <w:div w:id="648944656">
      <w:bodyDiv w:val="1"/>
      <w:marLeft w:val="0"/>
      <w:marRight w:val="0"/>
      <w:marTop w:val="0"/>
      <w:marBottom w:val="0"/>
      <w:divBdr>
        <w:top w:val="none" w:sz="0" w:space="0" w:color="auto"/>
        <w:left w:val="none" w:sz="0" w:space="0" w:color="auto"/>
        <w:bottom w:val="none" w:sz="0" w:space="0" w:color="auto"/>
        <w:right w:val="none" w:sz="0" w:space="0" w:color="auto"/>
      </w:divBdr>
    </w:div>
    <w:div w:id="784930104">
      <w:bodyDiv w:val="1"/>
      <w:marLeft w:val="0"/>
      <w:marRight w:val="0"/>
      <w:marTop w:val="0"/>
      <w:marBottom w:val="0"/>
      <w:divBdr>
        <w:top w:val="none" w:sz="0" w:space="0" w:color="auto"/>
        <w:left w:val="none" w:sz="0" w:space="0" w:color="auto"/>
        <w:bottom w:val="none" w:sz="0" w:space="0" w:color="auto"/>
        <w:right w:val="none" w:sz="0" w:space="0" w:color="auto"/>
      </w:divBdr>
    </w:div>
    <w:div w:id="789320075">
      <w:bodyDiv w:val="1"/>
      <w:marLeft w:val="0"/>
      <w:marRight w:val="0"/>
      <w:marTop w:val="0"/>
      <w:marBottom w:val="0"/>
      <w:divBdr>
        <w:top w:val="none" w:sz="0" w:space="0" w:color="auto"/>
        <w:left w:val="none" w:sz="0" w:space="0" w:color="auto"/>
        <w:bottom w:val="none" w:sz="0" w:space="0" w:color="auto"/>
        <w:right w:val="none" w:sz="0" w:space="0" w:color="auto"/>
      </w:divBdr>
    </w:div>
    <w:div w:id="791093873">
      <w:bodyDiv w:val="1"/>
      <w:marLeft w:val="0"/>
      <w:marRight w:val="0"/>
      <w:marTop w:val="0"/>
      <w:marBottom w:val="0"/>
      <w:divBdr>
        <w:top w:val="none" w:sz="0" w:space="0" w:color="auto"/>
        <w:left w:val="none" w:sz="0" w:space="0" w:color="auto"/>
        <w:bottom w:val="none" w:sz="0" w:space="0" w:color="auto"/>
        <w:right w:val="none" w:sz="0" w:space="0" w:color="auto"/>
      </w:divBdr>
    </w:div>
    <w:div w:id="801122422">
      <w:bodyDiv w:val="1"/>
      <w:marLeft w:val="0"/>
      <w:marRight w:val="0"/>
      <w:marTop w:val="0"/>
      <w:marBottom w:val="0"/>
      <w:divBdr>
        <w:top w:val="none" w:sz="0" w:space="0" w:color="auto"/>
        <w:left w:val="none" w:sz="0" w:space="0" w:color="auto"/>
        <w:bottom w:val="none" w:sz="0" w:space="0" w:color="auto"/>
        <w:right w:val="none" w:sz="0" w:space="0" w:color="auto"/>
      </w:divBdr>
    </w:div>
    <w:div w:id="1123579484">
      <w:bodyDiv w:val="1"/>
      <w:marLeft w:val="0"/>
      <w:marRight w:val="0"/>
      <w:marTop w:val="0"/>
      <w:marBottom w:val="0"/>
      <w:divBdr>
        <w:top w:val="none" w:sz="0" w:space="0" w:color="auto"/>
        <w:left w:val="none" w:sz="0" w:space="0" w:color="auto"/>
        <w:bottom w:val="none" w:sz="0" w:space="0" w:color="auto"/>
        <w:right w:val="none" w:sz="0" w:space="0" w:color="auto"/>
      </w:divBdr>
    </w:div>
    <w:div w:id="1142501186">
      <w:bodyDiv w:val="1"/>
      <w:marLeft w:val="0"/>
      <w:marRight w:val="0"/>
      <w:marTop w:val="0"/>
      <w:marBottom w:val="0"/>
      <w:divBdr>
        <w:top w:val="none" w:sz="0" w:space="0" w:color="auto"/>
        <w:left w:val="none" w:sz="0" w:space="0" w:color="auto"/>
        <w:bottom w:val="none" w:sz="0" w:space="0" w:color="auto"/>
        <w:right w:val="none" w:sz="0" w:space="0" w:color="auto"/>
      </w:divBdr>
    </w:div>
    <w:div w:id="1143694757">
      <w:bodyDiv w:val="1"/>
      <w:marLeft w:val="0"/>
      <w:marRight w:val="0"/>
      <w:marTop w:val="0"/>
      <w:marBottom w:val="0"/>
      <w:divBdr>
        <w:top w:val="none" w:sz="0" w:space="0" w:color="auto"/>
        <w:left w:val="none" w:sz="0" w:space="0" w:color="auto"/>
        <w:bottom w:val="none" w:sz="0" w:space="0" w:color="auto"/>
        <w:right w:val="none" w:sz="0" w:space="0" w:color="auto"/>
      </w:divBdr>
    </w:div>
    <w:div w:id="1210730709">
      <w:bodyDiv w:val="1"/>
      <w:marLeft w:val="0"/>
      <w:marRight w:val="0"/>
      <w:marTop w:val="0"/>
      <w:marBottom w:val="0"/>
      <w:divBdr>
        <w:top w:val="none" w:sz="0" w:space="0" w:color="auto"/>
        <w:left w:val="none" w:sz="0" w:space="0" w:color="auto"/>
        <w:bottom w:val="none" w:sz="0" w:space="0" w:color="auto"/>
        <w:right w:val="none" w:sz="0" w:space="0" w:color="auto"/>
      </w:divBdr>
    </w:div>
    <w:div w:id="1227689174">
      <w:bodyDiv w:val="1"/>
      <w:marLeft w:val="0"/>
      <w:marRight w:val="0"/>
      <w:marTop w:val="0"/>
      <w:marBottom w:val="0"/>
      <w:divBdr>
        <w:top w:val="none" w:sz="0" w:space="0" w:color="auto"/>
        <w:left w:val="none" w:sz="0" w:space="0" w:color="auto"/>
        <w:bottom w:val="none" w:sz="0" w:space="0" w:color="auto"/>
        <w:right w:val="none" w:sz="0" w:space="0" w:color="auto"/>
      </w:divBdr>
    </w:div>
    <w:div w:id="1252354928">
      <w:bodyDiv w:val="1"/>
      <w:marLeft w:val="0"/>
      <w:marRight w:val="0"/>
      <w:marTop w:val="0"/>
      <w:marBottom w:val="0"/>
      <w:divBdr>
        <w:top w:val="none" w:sz="0" w:space="0" w:color="auto"/>
        <w:left w:val="none" w:sz="0" w:space="0" w:color="auto"/>
        <w:bottom w:val="none" w:sz="0" w:space="0" w:color="auto"/>
        <w:right w:val="none" w:sz="0" w:space="0" w:color="auto"/>
      </w:divBdr>
    </w:div>
    <w:div w:id="1263146389">
      <w:bodyDiv w:val="1"/>
      <w:marLeft w:val="0"/>
      <w:marRight w:val="0"/>
      <w:marTop w:val="0"/>
      <w:marBottom w:val="0"/>
      <w:divBdr>
        <w:top w:val="none" w:sz="0" w:space="0" w:color="auto"/>
        <w:left w:val="none" w:sz="0" w:space="0" w:color="auto"/>
        <w:bottom w:val="none" w:sz="0" w:space="0" w:color="auto"/>
        <w:right w:val="none" w:sz="0" w:space="0" w:color="auto"/>
      </w:divBdr>
    </w:div>
    <w:div w:id="1430152672">
      <w:bodyDiv w:val="1"/>
      <w:marLeft w:val="0"/>
      <w:marRight w:val="0"/>
      <w:marTop w:val="0"/>
      <w:marBottom w:val="0"/>
      <w:divBdr>
        <w:top w:val="none" w:sz="0" w:space="0" w:color="auto"/>
        <w:left w:val="none" w:sz="0" w:space="0" w:color="auto"/>
        <w:bottom w:val="none" w:sz="0" w:space="0" w:color="auto"/>
        <w:right w:val="none" w:sz="0" w:space="0" w:color="auto"/>
      </w:divBdr>
    </w:div>
    <w:div w:id="1453671983">
      <w:bodyDiv w:val="1"/>
      <w:marLeft w:val="0"/>
      <w:marRight w:val="0"/>
      <w:marTop w:val="0"/>
      <w:marBottom w:val="0"/>
      <w:divBdr>
        <w:top w:val="none" w:sz="0" w:space="0" w:color="auto"/>
        <w:left w:val="none" w:sz="0" w:space="0" w:color="auto"/>
        <w:bottom w:val="none" w:sz="0" w:space="0" w:color="auto"/>
        <w:right w:val="none" w:sz="0" w:space="0" w:color="auto"/>
      </w:divBdr>
    </w:div>
    <w:div w:id="1669941797">
      <w:bodyDiv w:val="1"/>
      <w:marLeft w:val="0"/>
      <w:marRight w:val="0"/>
      <w:marTop w:val="0"/>
      <w:marBottom w:val="0"/>
      <w:divBdr>
        <w:top w:val="none" w:sz="0" w:space="0" w:color="auto"/>
        <w:left w:val="none" w:sz="0" w:space="0" w:color="auto"/>
        <w:bottom w:val="none" w:sz="0" w:space="0" w:color="auto"/>
        <w:right w:val="none" w:sz="0" w:space="0" w:color="auto"/>
      </w:divBdr>
    </w:div>
    <w:div w:id="1700155618">
      <w:bodyDiv w:val="1"/>
      <w:marLeft w:val="0"/>
      <w:marRight w:val="0"/>
      <w:marTop w:val="0"/>
      <w:marBottom w:val="0"/>
      <w:divBdr>
        <w:top w:val="none" w:sz="0" w:space="0" w:color="auto"/>
        <w:left w:val="none" w:sz="0" w:space="0" w:color="auto"/>
        <w:bottom w:val="none" w:sz="0" w:space="0" w:color="auto"/>
        <w:right w:val="none" w:sz="0" w:space="0" w:color="auto"/>
      </w:divBdr>
    </w:div>
    <w:div w:id="1702247134">
      <w:bodyDiv w:val="1"/>
      <w:marLeft w:val="0"/>
      <w:marRight w:val="0"/>
      <w:marTop w:val="0"/>
      <w:marBottom w:val="0"/>
      <w:divBdr>
        <w:top w:val="none" w:sz="0" w:space="0" w:color="auto"/>
        <w:left w:val="none" w:sz="0" w:space="0" w:color="auto"/>
        <w:bottom w:val="none" w:sz="0" w:space="0" w:color="auto"/>
        <w:right w:val="none" w:sz="0" w:space="0" w:color="auto"/>
      </w:divBdr>
    </w:div>
    <w:div w:id="1706635179">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53650299">
      <w:bodyDiv w:val="1"/>
      <w:marLeft w:val="0"/>
      <w:marRight w:val="0"/>
      <w:marTop w:val="0"/>
      <w:marBottom w:val="0"/>
      <w:divBdr>
        <w:top w:val="none" w:sz="0" w:space="0" w:color="auto"/>
        <w:left w:val="none" w:sz="0" w:space="0" w:color="auto"/>
        <w:bottom w:val="none" w:sz="0" w:space="0" w:color="auto"/>
        <w:right w:val="none" w:sz="0" w:space="0" w:color="auto"/>
      </w:divBdr>
    </w:div>
    <w:div w:id="2059622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162AC-F4A2-944C-B81F-C9392F6B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40</Pages>
  <Words>27267</Words>
  <Characters>155425</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Britt</dc:creator>
  <cp:keywords/>
  <dc:description/>
  <cp:lastModifiedBy>Lucy Britt</cp:lastModifiedBy>
  <cp:revision>27</cp:revision>
  <cp:lastPrinted>2019-04-07T14:39:00Z</cp:lastPrinted>
  <dcterms:created xsi:type="dcterms:W3CDTF">2019-04-07T14:39:00Z</dcterms:created>
  <dcterms:modified xsi:type="dcterms:W3CDTF">2019-04-12T03:34:00Z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zotero-version="5.0.65"&gt;&lt;session id="vgAGpO9M"/&gt;&lt;style id="http://www.zotero.org/styles/chicago-author-date" locale="en-US" hasBibliography="1" bibliographyStyleHasBeenSet="1"/&gt;&lt;prefs&gt;&lt;pref name="fieldType" value="Field"/&gt;&lt;pref name</vt:lpwstr>
  </property>
  <property fmtid="{D5CDD505-2E9C-101B-9397-08002B2CF9AE}" pid="3" name="ZOTERO_PREF_2">
    <vt:lpwstr>="dontAskDelayCitationUpdates" value="true"/&gt;&lt;/prefs&gt;&lt;/data&gt;</vt:lpwstr>
  </property>
</Properties>
</file>