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00765A" w14:textId="77777777" w:rsidR="00401E7F" w:rsidRPr="005618C1" w:rsidRDefault="00401E7F" w:rsidP="00401E7F">
      <w:pPr>
        <w:rPr>
          <w:rFonts w:ascii="Times" w:hAnsi="Times"/>
        </w:rPr>
      </w:pPr>
    </w:p>
    <w:p w14:paraId="22C94E9D" w14:textId="77777777" w:rsidR="00401E7F" w:rsidRPr="0016164F" w:rsidRDefault="00401E7F" w:rsidP="00401E7F">
      <w:pPr>
        <w:rPr>
          <w:rFonts w:ascii="Times" w:hAnsi="Times"/>
          <w:lang w:val="en-US"/>
        </w:rPr>
      </w:pPr>
    </w:p>
    <w:p w14:paraId="1FD99083" w14:textId="77777777" w:rsidR="00401E7F" w:rsidRPr="0016164F" w:rsidRDefault="00401E7F" w:rsidP="00401E7F">
      <w:pPr>
        <w:rPr>
          <w:rFonts w:ascii="Times" w:hAnsi="Times"/>
          <w:lang w:val="en-US"/>
        </w:rPr>
      </w:pPr>
    </w:p>
    <w:p w14:paraId="7889C342" w14:textId="77777777" w:rsidR="00401E7F" w:rsidRPr="0016164F" w:rsidRDefault="00401E7F" w:rsidP="00401E7F">
      <w:pPr>
        <w:rPr>
          <w:rFonts w:ascii="Times" w:hAnsi="Times"/>
          <w:lang w:val="en-US"/>
        </w:rPr>
      </w:pPr>
    </w:p>
    <w:p w14:paraId="5814BABA" w14:textId="77777777" w:rsidR="00401E7F" w:rsidRPr="0016164F" w:rsidRDefault="00401E7F" w:rsidP="00401E7F">
      <w:pPr>
        <w:rPr>
          <w:rFonts w:ascii="Times" w:hAnsi="Times"/>
          <w:lang w:val="en-US"/>
        </w:rPr>
      </w:pPr>
    </w:p>
    <w:p w14:paraId="2E4C663C" w14:textId="77750CF5" w:rsidR="00401E7F" w:rsidRPr="007E249D" w:rsidRDefault="002F19BE" w:rsidP="00401E7F">
      <w:pPr>
        <w:jc w:val="center"/>
        <w:rPr>
          <w:rFonts w:ascii="Times" w:hAnsi="Times"/>
          <w:lang w:val="en-US"/>
        </w:rPr>
      </w:pPr>
      <w:r>
        <w:rPr>
          <w:rFonts w:ascii="Times" w:hAnsi="Times"/>
          <w:lang w:val="en-US"/>
        </w:rPr>
        <w:t>Environmental Samba! The Greenwashing of Brazil’s Global Climate Change Commitments</w:t>
      </w:r>
    </w:p>
    <w:p w14:paraId="43FADE85" w14:textId="6462C740" w:rsidR="00401E7F" w:rsidRDefault="00755FFC" w:rsidP="00401E7F">
      <w:pPr>
        <w:jc w:val="center"/>
        <w:rPr>
          <w:rFonts w:ascii="Times" w:hAnsi="Times"/>
          <w:lang w:val="en-US"/>
        </w:rPr>
      </w:pPr>
      <w:r w:rsidRPr="007E249D">
        <w:rPr>
          <w:rFonts w:ascii="Times" w:hAnsi="Times"/>
          <w:lang w:val="en-US"/>
        </w:rPr>
        <w:t>Melina Matos Sharifan</w:t>
      </w:r>
    </w:p>
    <w:p w14:paraId="3C82BFE9" w14:textId="483F70D6" w:rsidR="00150F4B" w:rsidRPr="007E249D" w:rsidRDefault="00150F4B" w:rsidP="00401E7F">
      <w:pPr>
        <w:jc w:val="center"/>
        <w:rPr>
          <w:rFonts w:ascii="Times" w:hAnsi="Times"/>
          <w:lang w:val="en-US"/>
        </w:rPr>
      </w:pPr>
      <w:r>
        <w:rPr>
          <w:rFonts w:ascii="Times" w:hAnsi="Times"/>
          <w:lang w:val="en-US"/>
        </w:rPr>
        <w:t>Robert Forbis</w:t>
      </w:r>
    </w:p>
    <w:p w14:paraId="08D7E53F" w14:textId="77777777" w:rsidR="00401E7F" w:rsidRDefault="00401E7F" w:rsidP="00401E7F">
      <w:pPr>
        <w:pStyle w:val="texto"/>
      </w:pPr>
    </w:p>
    <w:p w14:paraId="5D824C85" w14:textId="77777777" w:rsidR="00401E7F" w:rsidRDefault="00401E7F" w:rsidP="00401E7F">
      <w:pPr>
        <w:pStyle w:val="texto"/>
      </w:pPr>
    </w:p>
    <w:p w14:paraId="6ABE71B7" w14:textId="4B4077B5" w:rsidR="002729BC" w:rsidRDefault="002729BC">
      <w:pPr>
        <w:spacing w:line="240" w:lineRule="auto"/>
        <w:jc w:val="left"/>
        <w:rPr>
          <w:lang w:val="en-US"/>
        </w:rPr>
      </w:pPr>
      <w:r w:rsidRPr="007B353F">
        <w:rPr>
          <w:lang w:val="en-US"/>
        </w:rPr>
        <w:br w:type="page"/>
      </w:r>
    </w:p>
    <w:p w14:paraId="254BF2A9" w14:textId="77777777" w:rsidR="002729BC" w:rsidRDefault="002729BC" w:rsidP="002729BC">
      <w:pPr>
        <w:pStyle w:val="Heading1"/>
        <w:rPr>
          <w:rStyle w:val="Heading1Char"/>
          <w:b/>
        </w:rPr>
      </w:pPr>
      <w:r>
        <w:rPr>
          <w:rStyle w:val="Heading1Char"/>
          <w:b/>
        </w:rPr>
        <w:lastRenderedPageBreak/>
        <w:t>Abstract</w:t>
      </w:r>
    </w:p>
    <w:p w14:paraId="3696C57B" w14:textId="6F16279B" w:rsidR="000F7B1E" w:rsidRDefault="002729BC" w:rsidP="002729BC">
      <w:pPr>
        <w:pStyle w:val="texto"/>
        <w:rPr>
          <w:shd w:val="clear" w:color="auto" w:fill="FFFFFF"/>
        </w:rPr>
      </w:pPr>
      <w:r w:rsidRPr="000F7B1E">
        <w:rPr>
          <w:shd w:val="clear" w:color="auto" w:fill="FFFFFF"/>
        </w:rPr>
        <w:t xml:space="preserve">Brazil is considered a country with a clean energy matrix seeking to fulfill its international commitment(s) addressing global climate change. However, Brazilian offshore fossil-fuel </w:t>
      </w:r>
      <w:r w:rsidRPr="000F7B1E">
        <w:rPr>
          <w:noProof/>
          <w:shd w:val="clear" w:color="auto" w:fill="FFFFFF"/>
        </w:rPr>
        <w:t>development</w:t>
      </w:r>
      <w:r w:rsidR="00650C6B" w:rsidRPr="000F7B1E">
        <w:rPr>
          <w:noProof/>
          <w:shd w:val="clear" w:color="auto" w:fill="FFFFFF"/>
        </w:rPr>
        <w:t>, as well as large-scale hydropower planned in the Amazonian interior,</w:t>
      </w:r>
      <w:r w:rsidRPr="000F7B1E">
        <w:rPr>
          <w:shd w:val="clear" w:color="auto" w:fill="FFFFFF"/>
        </w:rPr>
        <w:t xml:space="preserve"> casts doubt on </w:t>
      </w:r>
      <w:r w:rsidR="0086527E" w:rsidRPr="000F7B1E">
        <w:rPr>
          <w:shd w:val="clear" w:color="auto" w:fill="FFFFFF"/>
        </w:rPr>
        <w:t>the fulfillment of those</w:t>
      </w:r>
      <w:r w:rsidRPr="000F7B1E">
        <w:rPr>
          <w:shd w:val="clear" w:color="auto" w:fill="FFFFFF"/>
        </w:rPr>
        <w:t xml:space="preserve"> commitments. </w:t>
      </w:r>
      <w:r w:rsidR="000F7B1E" w:rsidRPr="000F7B1E">
        <w:rPr>
          <w:shd w:val="clear" w:color="auto" w:fill="FFFFFF"/>
        </w:rPr>
        <w:t>This</w:t>
      </w:r>
      <w:r w:rsidRPr="000F7B1E">
        <w:rPr>
          <w:shd w:val="clear" w:color="auto" w:fill="FFFFFF"/>
        </w:rPr>
        <w:t xml:space="preserve"> research presents a preliminary investigation of Brazilian energy policies, based on</w:t>
      </w:r>
      <w:r w:rsidR="000F7B1E" w:rsidRPr="000F7B1E">
        <w:rPr>
          <w:shd w:val="clear" w:color="auto" w:fill="FFFFFF"/>
        </w:rPr>
        <w:t xml:space="preserve"> a</w:t>
      </w:r>
      <w:r w:rsidRPr="000F7B1E">
        <w:rPr>
          <w:shd w:val="clear" w:color="auto" w:fill="FFFFFF"/>
        </w:rPr>
        <w:t xml:space="preserve"> two-pronged theoretical approach, to demonstrate how the concepts of the “energy curse” and “environmental justice” negate Brazil’s capacity to </w:t>
      </w:r>
      <w:r w:rsidR="00650C6B" w:rsidRPr="000F7B1E">
        <w:rPr>
          <w:shd w:val="clear" w:color="auto" w:fill="FFFFFF"/>
        </w:rPr>
        <w:t>perform</w:t>
      </w:r>
      <w:r w:rsidRPr="000F7B1E">
        <w:rPr>
          <w:shd w:val="clear" w:color="auto" w:fill="FFFFFF"/>
        </w:rPr>
        <w:t xml:space="preserve"> its climate change commitment(s). In doing so, this research effort seeks to answer the following questions: Where are </w:t>
      </w:r>
      <w:r w:rsidRPr="000F7B1E">
        <w:rPr>
          <w:noProof/>
          <w:shd w:val="clear" w:color="auto" w:fill="FFFFFF"/>
        </w:rPr>
        <w:t>fiscal</w:t>
      </w:r>
      <w:r w:rsidRPr="000F7B1E">
        <w:rPr>
          <w:shd w:val="clear" w:color="auto" w:fill="FFFFFF"/>
        </w:rPr>
        <w:t xml:space="preserve"> benefits from Brazil’s offshore energy development </w:t>
      </w:r>
      <w:r w:rsidRPr="000F7B1E">
        <w:rPr>
          <w:noProof/>
          <w:shd w:val="clear" w:color="auto" w:fill="FFFFFF"/>
        </w:rPr>
        <w:t>being directed</w:t>
      </w:r>
      <w:r w:rsidRPr="000F7B1E">
        <w:rPr>
          <w:shd w:val="clear" w:color="auto" w:fill="FFFFFF"/>
        </w:rPr>
        <w:t>? Given that Brazil has a natural potential to develop a highly diversified energetic matrix, why are national energy policies primarily focused on developing new offshore fossil-fuel resources and hydropower projects in the Amazonian interior? Preliminary analysis suggests that while Brazil has the economic potential to foster</w:t>
      </w:r>
      <w:r w:rsidR="00650C6B" w:rsidRPr="000F7B1E">
        <w:rPr>
          <w:shd w:val="clear" w:color="auto" w:fill="FFFFFF"/>
        </w:rPr>
        <w:t xml:space="preserve"> the</w:t>
      </w:r>
      <w:r w:rsidRPr="000F7B1E">
        <w:rPr>
          <w:shd w:val="clear" w:color="auto" w:fill="FFFFFF"/>
        </w:rPr>
        <w:t xml:space="preserve"> </w:t>
      </w:r>
      <w:r w:rsidRPr="000F7B1E">
        <w:rPr>
          <w:noProof/>
          <w:shd w:val="clear" w:color="auto" w:fill="FFFFFF"/>
        </w:rPr>
        <w:t>large-scale</w:t>
      </w:r>
      <w:r w:rsidRPr="000F7B1E">
        <w:rPr>
          <w:shd w:val="clear" w:color="auto" w:fill="FFFFFF"/>
        </w:rPr>
        <w:t xml:space="preserve"> development of renewable energy, fiscal resources derived from offshore </w:t>
      </w:r>
      <w:r w:rsidRPr="000F7B1E">
        <w:rPr>
          <w:noProof/>
          <w:shd w:val="clear" w:color="auto" w:fill="FFFFFF"/>
        </w:rPr>
        <w:t>fossil</w:t>
      </w:r>
      <w:r w:rsidR="00650C6B" w:rsidRPr="000F7B1E">
        <w:rPr>
          <w:noProof/>
          <w:shd w:val="clear" w:color="auto" w:fill="FFFFFF"/>
        </w:rPr>
        <w:t xml:space="preserve"> </w:t>
      </w:r>
      <w:r w:rsidRPr="000F7B1E">
        <w:rPr>
          <w:noProof/>
          <w:shd w:val="clear" w:color="auto" w:fill="FFFFFF"/>
        </w:rPr>
        <w:t>fuel</w:t>
      </w:r>
      <w:r w:rsidRPr="000F7B1E">
        <w:rPr>
          <w:shd w:val="clear" w:color="auto" w:fill="FFFFFF"/>
        </w:rPr>
        <w:t xml:space="preserve"> development are not being utilized to achieve that objective. Further proposed hydropower projects suggest further deforestation of the Amazon and in doing so; raise serious environmental justice concerns for Brazil’s indigenous </w:t>
      </w:r>
      <w:r w:rsidR="00650C6B" w:rsidRPr="000F7B1E">
        <w:rPr>
          <w:shd w:val="clear" w:color="auto" w:fill="FFFFFF"/>
        </w:rPr>
        <w:t>population</w:t>
      </w:r>
      <w:r w:rsidR="000F7B1E" w:rsidRPr="000F7B1E">
        <w:rPr>
          <w:shd w:val="clear" w:color="auto" w:fill="FFFFFF"/>
        </w:rPr>
        <w:t>s</w:t>
      </w:r>
      <w:r w:rsidRPr="000F7B1E">
        <w:rPr>
          <w:shd w:val="clear" w:color="auto" w:fill="FFFFFF"/>
        </w:rPr>
        <w:t xml:space="preserve">. </w:t>
      </w:r>
      <w:r w:rsidR="000F7B1E" w:rsidRPr="000F7B1E">
        <w:rPr>
          <w:shd w:val="clear" w:color="auto" w:fill="FFFFFF"/>
        </w:rPr>
        <w:t>The juxtaposition of the Brazilian energy curse resulting from offshore fossil-fuel development generates an apparent absence of environmental justice for indigenous peoples of the Amazon in the development of hydropower. Therefore, it is likely that Brazil is engaging in state-sponsored greenwashing of its international climate change commitments.</w:t>
      </w:r>
    </w:p>
    <w:p w14:paraId="68C87124" w14:textId="77777777" w:rsidR="00401E7F" w:rsidRPr="0016164F" w:rsidRDefault="00755FFC" w:rsidP="00401E7F">
      <w:pPr>
        <w:pStyle w:val="texto"/>
      </w:pPr>
      <w:r w:rsidRPr="0015207E">
        <w:br w:type="page"/>
      </w:r>
    </w:p>
    <w:p w14:paraId="6CA95C19" w14:textId="77777777" w:rsidR="00401E7F" w:rsidRDefault="00755FFC" w:rsidP="00401E7F">
      <w:pPr>
        <w:pStyle w:val="Heading1"/>
        <w:rPr>
          <w:rStyle w:val="citedauthor"/>
        </w:rPr>
      </w:pPr>
      <w:r>
        <w:rPr>
          <w:rStyle w:val="citedauthor"/>
        </w:rPr>
        <w:lastRenderedPageBreak/>
        <w:t>Literature Review</w:t>
      </w:r>
    </w:p>
    <w:p w14:paraId="383F2C1C" w14:textId="4967A2BC" w:rsidR="00401E7F" w:rsidRDefault="00755FFC" w:rsidP="00401E7F">
      <w:pPr>
        <w:pStyle w:val="texto"/>
      </w:pPr>
      <w:r>
        <w:t xml:space="preserve">Energy is </w:t>
      </w:r>
      <w:r w:rsidR="008975F3">
        <w:t xml:space="preserve">the </w:t>
      </w:r>
      <w:r w:rsidR="00044949">
        <w:t>backbone</w:t>
      </w:r>
      <w:r w:rsidR="008975F3">
        <w:t xml:space="preserve"> </w:t>
      </w:r>
      <w:r w:rsidR="00241B02">
        <w:rPr>
          <w:noProof/>
        </w:rPr>
        <w:t>of</w:t>
      </w:r>
      <w:r>
        <w:t xml:space="preserve"> economic growth and development</w:t>
      </w:r>
      <w:r w:rsidR="008975F3">
        <w:t xml:space="preserve"> of countries</w:t>
      </w:r>
      <w:r>
        <w:t xml:space="preserve">. </w:t>
      </w:r>
      <w:r w:rsidR="008975F3">
        <w:t>The global</w:t>
      </w:r>
      <w:r>
        <w:t xml:space="preserve"> primary energy </w:t>
      </w:r>
      <w:r w:rsidR="008975F3">
        <w:t>re</w:t>
      </w:r>
      <w:r>
        <w:t xml:space="preserve">source is fossil fuels such as oil, coal, and </w:t>
      </w:r>
      <w:r w:rsidR="008975F3">
        <w:t xml:space="preserve">natural </w:t>
      </w:r>
      <w:r>
        <w:t xml:space="preserve">gas </w:t>
      </w:r>
      <w:r>
        <w:fldChar w:fldCharType="begin"/>
      </w:r>
      <w:r>
        <w:instrText xml:space="preserve"> ADDIN EN.CITE &lt;EndNote&gt;&lt;Cite&gt;&lt;Author&gt;Cavaliero&lt;/Author&gt;&lt;Year&gt;2005&lt;/Year&gt;&lt;RecNum&gt;15&lt;/RecNum&gt;&lt;DisplayText&gt;(Cavaliero &amp;amp; Da Silva, 2005)&lt;/DisplayText&gt;&lt;record&gt;&lt;rec-number&gt;15&lt;/rec-number&gt;&lt;foreign-keys&gt;&lt;key app="EN" db-id="0pv0svx92d9at8efs26vverg2txfvd9pef99" timestamp="1475447176"&gt;15&lt;/key&gt;&lt;/foreign-keys&gt;&lt;ref-type name="Journal Article"&gt;17&lt;/ref-type&gt;&lt;contributors&gt;&lt;authors&gt;&lt;author&gt;Cavaliero, Carla Kazue Nakao&lt;/author&gt;&lt;author&gt;Da Silva, Ennio Peres&lt;/author&gt;&lt;/authors&gt;&lt;/contributors&gt;&lt;titles&gt;&lt;title&gt;Electricity generation:: regulatory mechanisms to incentive renewable alternative energy sources in Brazil&lt;/title&gt;&lt;secondary-title&gt;Energy Policy&lt;/secondary-title&gt;&lt;/titles&gt;&lt;periodical&gt;&lt;full-title&gt;Energy Policy&lt;/full-title&gt;&lt;/periodical&gt;&lt;pages&gt;1745-1752&lt;/pages&gt;&lt;volume&gt;33&lt;/volume&gt;&lt;number&gt;13&lt;/number&gt;&lt;keywords&gt;&lt;keyword&gt;Renewable alternative energy sources&lt;/keyword&gt;&lt;keyword&gt;Regulatory mechanisms&lt;/keyword&gt;&lt;keyword&gt;Brazil&lt;/keyword&gt;&lt;/keywords&gt;&lt;dates&gt;&lt;year&gt;2005&lt;/year&gt;&lt;pub-dates&gt;&lt;date&gt;9//&lt;/date&gt;&lt;/pub-dates&gt;&lt;/dates&gt;&lt;isbn&gt;0301-4215&lt;/isbn&gt;&lt;urls&gt;&lt;related-urls&gt;&lt;url&gt;http://www.sciencedirect.com/science/article/pii/S0301421504000461&lt;/url&gt;&lt;/related-urls&gt;&lt;/urls&gt;&lt;electronic-resource-num&gt;http://dx.doi.org/10.1016/j.enpol.2004.02.012&lt;/electronic-resource-num&gt;&lt;/record&gt;&lt;/Cite&gt;&lt;/EndNote&gt;</w:instrText>
      </w:r>
      <w:r>
        <w:fldChar w:fldCharType="separate"/>
      </w:r>
      <w:r>
        <w:rPr>
          <w:noProof/>
        </w:rPr>
        <w:t>(Cavaliero &amp; Da Silva, 2005)</w:t>
      </w:r>
      <w:r>
        <w:fldChar w:fldCharType="end"/>
      </w:r>
      <w:r>
        <w:t>. The high global dependence on non-renewable resources caused the accumulation of carbon</w:t>
      </w:r>
      <w:r w:rsidR="008975F3">
        <w:t xml:space="preserve"> dioxide</w:t>
      </w:r>
      <w:r>
        <w:t xml:space="preserve"> in</w:t>
      </w:r>
      <w:r w:rsidR="008975F3">
        <w:t>to</w:t>
      </w:r>
      <w:r w:rsidR="00241B02">
        <w:t xml:space="preserve"> the</w:t>
      </w:r>
      <w:r>
        <w:t xml:space="preserve"> </w:t>
      </w:r>
      <w:r w:rsidRPr="00241B02">
        <w:rPr>
          <w:noProof/>
        </w:rPr>
        <w:t>atmosphere</w:t>
      </w:r>
      <w:r w:rsidR="008975F3">
        <w:t xml:space="preserve"> leading to aggravation</w:t>
      </w:r>
      <w:r>
        <w:t xml:space="preserve"> </w:t>
      </w:r>
      <w:r w:rsidR="008975F3">
        <w:t xml:space="preserve">of </w:t>
      </w:r>
      <w:r>
        <w:t xml:space="preserve">climate change. Therefore, it is necessary to invest in clean energy such as biofuel, solar, </w:t>
      </w:r>
      <w:r w:rsidRPr="00650C6B">
        <w:rPr>
          <w:noProof/>
        </w:rPr>
        <w:t>wind</w:t>
      </w:r>
      <w:r>
        <w:t>, geothermal, hydropower, and biomass.</w:t>
      </w:r>
    </w:p>
    <w:p w14:paraId="6E6E6394" w14:textId="448D4376" w:rsidR="00F664E5" w:rsidRDefault="00BE5093" w:rsidP="00F664E5">
      <w:pPr>
        <w:pStyle w:val="texto"/>
        <w:rPr>
          <w:rStyle w:val="citedauthor"/>
        </w:rPr>
      </w:pPr>
      <w:r>
        <w:t xml:space="preserve">Overall, </w:t>
      </w:r>
      <w:r>
        <w:rPr>
          <w:rStyle w:val="citedauthor"/>
        </w:rPr>
        <w:t xml:space="preserve">countries around the world are heavily dependent on fossil fuels, </w:t>
      </w:r>
      <w:r w:rsidR="00F664E5">
        <w:rPr>
          <w:rStyle w:val="citedauthor"/>
        </w:rPr>
        <w:t>and</w:t>
      </w:r>
      <w:r>
        <w:rPr>
          <w:rStyle w:val="citedauthor"/>
        </w:rPr>
        <w:t xml:space="preserve"> renewable sources represent just 12.9% </w:t>
      </w:r>
      <w:r w:rsidR="00F664E5">
        <w:rPr>
          <w:rStyle w:val="citedauthor"/>
        </w:rPr>
        <w:t>of their</w:t>
      </w:r>
      <w:r>
        <w:rPr>
          <w:rStyle w:val="citedauthor"/>
        </w:rPr>
        <w:t xml:space="preserve"> energy matrix </w:t>
      </w:r>
      <w:r>
        <w:rPr>
          <w:rStyle w:val="citedauthor"/>
        </w:rPr>
        <w:fldChar w:fldCharType="begin"/>
      </w:r>
      <w:r>
        <w:rPr>
          <w:rStyle w:val="citedauthor"/>
        </w:rPr>
        <w:instrText xml:space="preserve"> ADDIN EN.CITE &lt;EndNote&gt;&lt;Cite&gt;&lt;Author&gt;Kumar&lt;/Author&gt;&lt;Year&gt;2010&lt;/Year&gt;&lt;RecNum&gt;34&lt;/RecNum&gt;&lt;DisplayText&gt;(Kumar, Kumar, Kaushik, Sharma, &amp;amp; Mishra, 2010)&lt;/DisplayText&gt;&lt;record&gt;&lt;rec-number&gt;34&lt;/rec-number&gt;&lt;foreign-keys&gt;&lt;key app="EN" db-id="0pv0svx92d9at8efs26vverg2txfvd9pef99" timestamp="1475523170"&gt;34&lt;/key&gt;&lt;/foreign-keys&gt;&lt;ref-type name="Journal Article"&gt;17&lt;/ref-type&gt;&lt;contributors&gt;&lt;authors&gt;&lt;author&gt;Kumar, Ashwani&lt;/author&gt;&lt;author&gt;Kumar, Kapil&lt;/author&gt;&lt;author&gt;Kaushik, Naresh&lt;/author&gt;&lt;author&gt;Sharma, Satyawati&lt;/author&gt;&lt;author&gt;Mishra, Saroj&lt;/author&gt;&lt;/authors&gt;&lt;/contributors&gt;&lt;titles&gt;&lt;title&gt;Renewable energy in India: Current status and future potentials&lt;/title&gt;&lt;secondary-title&gt;Renewable and Sustainable Energy Reviews&lt;/secondary-title&gt;&lt;/titles&gt;&lt;periodical&gt;&lt;full-title&gt;Renewable and Sustainable Energy Reviews&lt;/full-title&gt;&lt;/periodical&gt;&lt;pages&gt;2434-2442&lt;/pages&gt;&lt;volume&gt;14&lt;/volume&gt;&lt;number&gt;8&lt;/number&gt;&lt;keywords&gt;&lt;keyword&gt;Renewable energy&lt;/keyword&gt;&lt;keyword&gt;Solar&lt;/keyword&gt;&lt;keyword&gt;Wind&lt;/keyword&gt;&lt;keyword&gt;Biomass&lt;/keyword&gt;&lt;keyword&gt;Geothermal&lt;/keyword&gt;&lt;keyword&gt;Clean development mechanism&lt;/keyword&gt;&lt;/keywords&gt;&lt;dates&gt;&lt;year&gt;2010&lt;/year&gt;&lt;pub-dates&gt;&lt;date&gt;10//&lt;/date&gt;&lt;/pub-dates&gt;&lt;/dates&gt;&lt;isbn&gt;1364-0321&lt;/isbn&gt;&lt;urls&gt;&lt;related-urls&gt;&lt;url&gt;http://www.sciencedirect.com/science/article/pii/S1364032110001140&lt;/url&gt;&lt;/related-urls&gt;&lt;/urls&gt;&lt;electronic-resource-num&gt;http://dx.doi.org/10.1016/j.rser.2010.04.003&lt;/electronic-resource-num&gt;&lt;/record&gt;&lt;/Cite&gt;&lt;/EndNote&gt;</w:instrText>
      </w:r>
      <w:r>
        <w:rPr>
          <w:rStyle w:val="citedauthor"/>
        </w:rPr>
        <w:fldChar w:fldCharType="separate"/>
      </w:r>
      <w:r>
        <w:rPr>
          <w:rStyle w:val="citedauthor"/>
          <w:noProof/>
        </w:rPr>
        <w:t>(Kumar, Kumar, Kaushik, Sharma, &amp; Mishra, 2010)</w:t>
      </w:r>
      <w:r>
        <w:rPr>
          <w:rStyle w:val="citedauthor"/>
        </w:rPr>
        <w:fldChar w:fldCharType="end"/>
      </w:r>
      <w:r>
        <w:rPr>
          <w:rStyle w:val="citedauthor"/>
        </w:rPr>
        <w:t xml:space="preserve">. Unlike other countries, Brazil is classified as a ‘green </w:t>
      </w:r>
      <w:r w:rsidR="00F664E5" w:rsidRPr="00F664E5">
        <w:rPr>
          <w:rStyle w:val="citedauthor"/>
          <w:noProof/>
        </w:rPr>
        <w:t>nation</w:t>
      </w:r>
      <w:r w:rsidR="00F664E5">
        <w:rPr>
          <w:rStyle w:val="citedauthor"/>
          <w:noProof/>
        </w:rPr>
        <w:t>,'</w:t>
      </w:r>
      <w:r w:rsidR="00F664E5" w:rsidRPr="00F664E5">
        <w:rPr>
          <w:rStyle w:val="citedauthor"/>
          <w:noProof/>
        </w:rPr>
        <w:t xml:space="preserve"> </w:t>
      </w:r>
      <w:r w:rsidR="00F664E5">
        <w:rPr>
          <w:noProof/>
        </w:rPr>
        <w:t xml:space="preserve">because </w:t>
      </w:r>
      <w:r w:rsidR="00F664E5" w:rsidRPr="00ED2181">
        <w:t xml:space="preserve">46% of its </w:t>
      </w:r>
      <w:r w:rsidR="00F664E5">
        <w:rPr>
          <w:noProof/>
        </w:rPr>
        <w:t>energy</w:t>
      </w:r>
      <w:r w:rsidR="00F664E5">
        <w:t xml:space="preserve"> </w:t>
      </w:r>
      <w:r w:rsidR="00F664E5" w:rsidRPr="00ED2181">
        <w:t>matrix</w:t>
      </w:r>
      <w:r w:rsidR="00F664E5">
        <w:t xml:space="preserve"> is</w:t>
      </w:r>
      <w:r w:rsidR="00F664E5" w:rsidRPr="00ED2181">
        <w:t xml:space="preserve"> based on renewable and 54% on non-renewable</w:t>
      </w:r>
      <w:r w:rsidR="00F664E5">
        <w:t xml:space="preserve"> energy (</w:t>
      </w:r>
      <w:r w:rsidR="00F664E5">
        <w:fldChar w:fldCharType="begin"/>
      </w:r>
      <w:r w:rsidR="00F664E5">
        <w:instrText xml:space="preserve"> REF _Ref437187881 \h </w:instrText>
      </w:r>
      <w:r w:rsidR="00F664E5">
        <w:fldChar w:fldCharType="separate"/>
      </w:r>
      <w:r w:rsidR="00F664E5" w:rsidRPr="009657F7">
        <w:t xml:space="preserve">Chart </w:t>
      </w:r>
      <w:r w:rsidR="00F664E5">
        <w:rPr>
          <w:noProof/>
        </w:rPr>
        <w:t>1</w:t>
      </w:r>
      <w:r w:rsidR="00F664E5">
        <w:fldChar w:fldCharType="end"/>
      </w:r>
      <w:r w:rsidR="00F664E5">
        <w:t xml:space="preserve">) </w:t>
      </w:r>
      <w:r w:rsidR="00F664E5" w:rsidRPr="00ED2181">
        <w:t>(</w:t>
      </w:r>
      <w:r w:rsidR="00F664E5">
        <w:t>MME</w:t>
      </w:r>
      <w:r w:rsidR="00F664E5" w:rsidRPr="00ED2181">
        <w:t>, 201</w:t>
      </w:r>
      <w:r w:rsidR="00F664E5">
        <w:t>5</w:t>
      </w:r>
      <w:r w:rsidR="00F664E5" w:rsidRPr="00ED2181">
        <w:t>)</w:t>
      </w:r>
      <w:r w:rsidR="00F664E5">
        <w:t xml:space="preserve">. The higher renewable share is due to the country’s </w:t>
      </w:r>
      <w:r w:rsidR="00F664E5">
        <w:rPr>
          <w:rStyle w:val="citedauthor"/>
        </w:rPr>
        <w:t xml:space="preserve">hydroelectric energy, which </w:t>
      </w:r>
      <w:r w:rsidR="00F664E5">
        <w:t xml:space="preserve">accounts for </w:t>
      </w:r>
      <w:r w:rsidR="00F664E5" w:rsidRPr="00F664E5">
        <w:rPr>
          <w:noProof/>
        </w:rPr>
        <w:t>77% of the total</w:t>
      </w:r>
      <w:r w:rsidR="00F664E5">
        <w:rPr>
          <w:noProof/>
        </w:rPr>
        <w:t xml:space="preserve"> </w:t>
      </w:r>
      <w:r w:rsidR="00F664E5" w:rsidRPr="00F664E5">
        <w:rPr>
          <w:noProof/>
        </w:rPr>
        <w:t xml:space="preserve">electricity generation and </w:t>
      </w:r>
      <w:r w:rsidR="00F664E5">
        <w:rPr>
          <w:noProof/>
        </w:rPr>
        <w:t xml:space="preserve">14% of the total energy sources </w:t>
      </w:r>
      <w:r w:rsidR="00F664E5" w:rsidRPr="00F664E5">
        <w:rPr>
          <w:noProof/>
        </w:rPr>
        <w:t>(</w:t>
      </w:r>
      <w:r w:rsidR="00F664E5" w:rsidRPr="00F664E5">
        <w:rPr>
          <w:noProof/>
        </w:rPr>
        <w:fldChar w:fldCharType="begin"/>
      </w:r>
      <w:r w:rsidR="00F664E5" w:rsidRPr="00F664E5">
        <w:rPr>
          <w:noProof/>
        </w:rPr>
        <w:instrText xml:space="preserve"> REF _Ref437187881 \h </w:instrText>
      </w:r>
      <w:r w:rsidR="00F664E5" w:rsidRPr="00F664E5">
        <w:rPr>
          <w:noProof/>
        </w:rPr>
      </w:r>
      <w:r w:rsidR="00F664E5" w:rsidRPr="00F664E5">
        <w:rPr>
          <w:noProof/>
        </w:rPr>
        <w:fldChar w:fldCharType="separate"/>
      </w:r>
      <w:r w:rsidR="00F664E5" w:rsidRPr="00F664E5">
        <w:rPr>
          <w:noProof/>
        </w:rPr>
        <w:t>Chart 1</w:t>
      </w:r>
      <w:r w:rsidR="00F664E5" w:rsidRPr="00F664E5">
        <w:rPr>
          <w:noProof/>
        </w:rPr>
        <w:fldChar w:fldCharType="end"/>
      </w:r>
      <w:r w:rsidR="00F664E5">
        <w:rPr>
          <w:noProof/>
        </w:rPr>
        <w:t xml:space="preserve">). However, although </w:t>
      </w:r>
      <w:r w:rsidR="00F664E5">
        <w:t xml:space="preserve">Brazil has natural characteristics to develop </w:t>
      </w:r>
      <w:r w:rsidR="00F664E5" w:rsidRPr="00F664E5">
        <w:rPr>
          <w:noProof/>
        </w:rPr>
        <w:t>wind</w:t>
      </w:r>
      <w:r w:rsidR="00F664E5">
        <w:t xml:space="preserve"> and solar sources </w:t>
      </w:r>
      <w:r w:rsidR="00F664E5" w:rsidRPr="00AF7AF1">
        <w:t>(Winrock</w:t>
      </w:r>
      <w:r w:rsidR="00F664E5">
        <w:t xml:space="preserve"> </w:t>
      </w:r>
      <w:r w:rsidR="00F664E5" w:rsidRPr="00AF7AF1">
        <w:t>International, 2002)</w:t>
      </w:r>
      <w:r w:rsidR="00F664E5">
        <w:t>, those comprise</w:t>
      </w:r>
      <w:r w:rsidR="00F664E5" w:rsidRPr="00AB72F3">
        <w:t xml:space="preserve"> </w:t>
      </w:r>
      <w:r w:rsidR="00F664E5">
        <w:t xml:space="preserve">only </w:t>
      </w:r>
      <w:r w:rsidR="00F664E5" w:rsidRPr="00762E71">
        <w:t xml:space="preserve">0.3% of the national </w:t>
      </w:r>
      <w:r w:rsidR="00F664E5">
        <w:t xml:space="preserve">electricity </w:t>
      </w:r>
      <w:r w:rsidR="00F664E5" w:rsidRPr="00762E71">
        <w:t>supply</w:t>
      </w:r>
      <w:r w:rsidR="00F664E5">
        <w:t>.</w:t>
      </w:r>
    </w:p>
    <w:p w14:paraId="17E5BABB" w14:textId="12E72724" w:rsidR="00401E7F" w:rsidRPr="009657F7" w:rsidRDefault="00755FFC" w:rsidP="00B57213">
      <w:pPr>
        <w:pStyle w:val="Caption"/>
      </w:pPr>
      <w:bookmarkStart w:id="0" w:name="_Ref437187881"/>
      <w:r w:rsidRPr="009657F7">
        <w:t xml:space="preserve">Chart </w:t>
      </w:r>
      <w:r w:rsidRPr="009657F7">
        <w:fldChar w:fldCharType="begin"/>
      </w:r>
      <w:r w:rsidRPr="009657F7">
        <w:instrText xml:space="preserve"> SEQ Chart \* ARABIC </w:instrText>
      </w:r>
      <w:r w:rsidRPr="009657F7">
        <w:fldChar w:fldCharType="separate"/>
      </w:r>
      <w:r w:rsidR="00A22E4D">
        <w:rPr>
          <w:noProof/>
        </w:rPr>
        <w:t>1</w:t>
      </w:r>
      <w:r w:rsidRPr="009657F7">
        <w:rPr>
          <w:noProof/>
        </w:rPr>
        <w:fldChar w:fldCharType="end"/>
      </w:r>
      <w:bookmarkEnd w:id="0"/>
      <w:r w:rsidRPr="009657F7">
        <w:t xml:space="preserve">. Source of </w:t>
      </w:r>
      <w:r w:rsidRPr="00650C6B">
        <w:rPr>
          <w:noProof/>
        </w:rPr>
        <w:t>electricity</w:t>
      </w:r>
      <w:r w:rsidRPr="009657F7">
        <w:t xml:space="preserve"> generation in Brazil, 201</w:t>
      </w:r>
      <w:r>
        <w:t>5</w:t>
      </w:r>
      <w:r w:rsidRPr="009657F7">
        <w:t xml:space="preserve"> (left) and total energy sources in Brazil, 201</w:t>
      </w:r>
      <w:r>
        <w:t>5</w:t>
      </w:r>
      <w:r w:rsidRPr="009657F7">
        <w:t xml:space="preserve"> (right)</w:t>
      </w:r>
    </w:p>
    <w:p w14:paraId="63396209" w14:textId="77777777" w:rsidR="00401E7F" w:rsidRPr="00ED2181" w:rsidRDefault="00755FFC" w:rsidP="00401E7F">
      <w:pPr>
        <w:pStyle w:val="picture"/>
      </w:pPr>
      <w:r w:rsidRPr="00ED2181">
        <w:drawing>
          <wp:inline distT="0" distB="0" distL="0" distR="0" wp14:anchorId="2BBDED99" wp14:editId="6EDEE845">
            <wp:extent cx="2695575" cy="1981200"/>
            <wp:effectExtent l="0" t="0" r="0" b="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ED2181">
        <w:drawing>
          <wp:inline distT="0" distB="0" distL="0" distR="0" wp14:anchorId="2A315BBC" wp14:editId="78818CD5">
            <wp:extent cx="2697480" cy="1984248"/>
            <wp:effectExtent l="0" t="0" r="0" b="0"/>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B72E5C3" w14:textId="77777777" w:rsidR="00401E7F" w:rsidRPr="00ED2181" w:rsidRDefault="00755FFC" w:rsidP="00401E7F">
      <w:pPr>
        <w:pStyle w:val="Source"/>
        <w:spacing w:after="0"/>
      </w:pPr>
      <w:r w:rsidRPr="00ED2181">
        <w:t>Source</w:t>
      </w:r>
      <w:r>
        <w:t>: MME 2015</w:t>
      </w:r>
      <w:r w:rsidRPr="00ED2181">
        <w:t xml:space="preserve"> </w:t>
      </w:r>
    </w:p>
    <w:p w14:paraId="71E5324B" w14:textId="77777777" w:rsidR="00401E7F" w:rsidRPr="00ED2181" w:rsidRDefault="00755FFC" w:rsidP="00401E7F">
      <w:pPr>
        <w:pStyle w:val="Source"/>
      </w:pPr>
      <w:r w:rsidRPr="00ED2181">
        <w:t>*Others covers wash water from the ashes of wood burning and wind power</w:t>
      </w:r>
    </w:p>
    <w:p w14:paraId="7AD03001" w14:textId="7B47DEFB" w:rsidR="00401E7F" w:rsidRDefault="00755FFC" w:rsidP="00401E7F">
      <w:pPr>
        <w:pStyle w:val="texto"/>
        <w:rPr>
          <w:rStyle w:val="citedauthor"/>
        </w:rPr>
      </w:pPr>
      <w:r w:rsidRPr="00E947E1">
        <w:lastRenderedPageBreak/>
        <w:t>The Atlas of Brazilian Wind Power Potential</w:t>
      </w:r>
      <w:r>
        <w:t xml:space="preserve"> (CEPEL, 2001) shows an impressive </w:t>
      </w:r>
      <w:r w:rsidR="008E55D9">
        <w:t>capacity</w:t>
      </w:r>
      <w:r>
        <w:t xml:space="preserve"> to generate wind energy in the Northeast (144.3 TW hour/year), parts of the South (41.1 TW </w:t>
      </w:r>
      <w:r w:rsidRPr="0056482A">
        <w:rPr>
          <w:noProof/>
        </w:rPr>
        <w:t>hour</w:t>
      </w:r>
      <w:r>
        <w:t xml:space="preserve">/year) and Southeast (54.9 TW hour/year) of the country. </w:t>
      </w:r>
      <w:r w:rsidRPr="00B10DA7">
        <w:t xml:space="preserve">The </w:t>
      </w:r>
      <w:r w:rsidR="00650C6B">
        <w:rPr>
          <w:noProof/>
        </w:rPr>
        <w:t>current</w:t>
      </w:r>
      <w:r w:rsidRPr="00B10DA7">
        <w:t xml:space="preserve"> wind energy installed in Brazil represents less than 1% of </w:t>
      </w:r>
      <w:r w:rsidR="00F664E5">
        <w:t>its</w:t>
      </w:r>
      <w:r w:rsidRPr="00B10DA7">
        <w:t xml:space="preserve"> total </w:t>
      </w:r>
      <w:r w:rsidR="00860BCB">
        <w:t>electrical</w:t>
      </w:r>
      <w:r w:rsidRPr="00B10DA7">
        <w:t xml:space="preserve"> capacity</w:t>
      </w:r>
      <w:r>
        <w:t xml:space="preserve"> </w:t>
      </w:r>
      <w:r>
        <w:rPr>
          <w:rStyle w:val="citedauthor"/>
        </w:rPr>
        <w:fldChar w:fldCharType="begin"/>
      </w:r>
      <w:r>
        <w:rPr>
          <w:rStyle w:val="citedauthor"/>
        </w:rPr>
        <w:instrText xml:space="preserve"> ADDIN EN.CITE &lt;EndNote&gt;&lt;Cite&gt;&lt;Author&gt;Martins&lt;/Author&gt;&lt;Year&gt;2011&lt;/Year&gt;&lt;RecNum&gt;30&lt;/RecNum&gt;&lt;DisplayText&gt;(Martins &amp;amp; Pereira, 2011)&lt;/DisplayText&gt;&lt;record&gt;&lt;rec-number&gt;30&lt;/rec-number&gt;&lt;foreign-keys&gt;&lt;key app="EN" db-id="0pv0svx92d9at8efs26vverg2txfvd9pef99" timestamp="1475458278"&gt;30&lt;/key&gt;&lt;/foreign-keys&gt;&lt;ref-type name="Journal Article"&gt;17&lt;/ref-type&gt;&lt;contributors&gt;&lt;authors&gt;&lt;author&gt;Martins, F. R.&lt;/author&gt;&lt;author&gt;Pereira, E. B.&lt;/author&gt;&lt;/authors&gt;&lt;/contributors&gt;&lt;titles&gt;&lt;title&gt;Enhancing information for solar and wind energy technology deployment in Brazil&lt;/title&gt;&lt;secondary-title&gt;Energy Policy&lt;/secondary-title&gt;&lt;/titles&gt;&lt;periodical&gt;&lt;full-title&gt;Energy Policy&lt;/full-title&gt;&lt;/periodical&gt;&lt;pages&gt;4378-4390&lt;/pages&gt;&lt;volume&gt;39&lt;/volume&gt;&lt;number&gt;7&lt;/number&gt;&lt;keywords&gt;&lt;keyword&gt;Solar energy&lt;/keyword&gt;&lt;keyword&gt;Wind energy&lt;/keyword&gt;&lt;keyword&gt;Incentive policies&lt;/keyword&gt;&lt;/keywords&gt;&lt;dates&gt;&lt;year&gt;2011&lt;/year&gt;&lt;pub-dates&gt;&lt;date&gt;7//&lt;/date&gt;&lt;/pub-dates&gt;&lt;/dates&gt;&lt;isbn&gt;0301-4215&lt;/isbn&gt;&lt;urls&gt;&lt;related-urls&gt;&lt;url&gt;http://www.sciencedirect.com/science/article/pii/S0301421511003417&lt;/url&gt;&lt;/related-urls&gt;&lt;/urls&gt;&lt;electronic-resource-num&gt;http://dx.doi.org/10.1016/j.enpol.2011.04.058&lt;/electronic-resource-num&gt;&lt;/record&gt;&lt;/Cite&gt;&lt;/EndNote&gt;</w:instrText>
      </w:r>
      <w:r>
        <w:rPr>
          <w:rStyle w:val="citedauthor"/>
        </w:rPr>
        <w:fldChar w:fldCharType="separate"/>
      </w:r>
      <w:r>
        <w:rPr>
          <w:rStyle w:val="citedauthor"/>
          <w:noProof/>
        </w:rPr>
        <w:t>(Martins &amp; Pereira, 2011)</w:t>
      </w:r>
      <w:r>
        <w:rPr>
          <w:rStyle w:val="citedauthor"/>
        </w:rPr>
        <w:fldChar w:fldCharType="end"/>
      </w:r>
      <w:r>
        <w:rPr>
          <w:rStyle w:val="citedauthor"/>
        </w:rPr>
        <w:t xml:space="preserve">. Therefore, </w:t>
      </w:r>
      <w:r w:rsidR="00F664E5" w:rsidRPr="00F664E5">
        <w:rPr>
          <w:rStyle w:val="citedauthor"/>
          <w:noProof/>
        </w:rPr>
        <w:t>i</w:t>
      </w:r>
      <w:r w:rsidR="00F664E5">
        <w:rPr>
          <w:rStyle w:val="citedauthor"/>
          <w:noProof/>
        </w:rPr>
        <w:t xml:space="preserve">t is possible and recommended to expand wind generation, to diversify the matrix and increase energy supply </w:t>
      </w:r>
      <w:r>
        <w:rPr>
          <w:rStyle w:val="citedauthor"/>
        </w:rPr>
        <w:fldChar w:fldCharType="begin"/>
      </w:r>
      <w:r>
        <w:rPr>
          <w:rStyle w:val="citedauthor"/>
        </w:rPr>
        <w:instrText xml:space="preserve"> ADDIN EN.CITE &lt;EndNote&gt;&lt;Cite&gt;&lt;Author&gt;Lucena&lt;/Author&gt;&lt;Year&gt;2010&lt;/Year&gt;&lt;RecNum&gt;25&lt;/RecNum&gt;&lt;DisplayText&gt;(Lucena, Szklo, Schaeffer, &amp;amp; Dutra, 2010)&lt;/DisplayText&gt;&lt;record&gt;&lt;rec-number&gt;25&lt;/rec-number&gt;&lt;foreign-keys&gt;&lt;key app="EN" db-id="0pv0svx92d9at8efs26vverg2txfvd9pef99" timestamp="1475456250"&gt;25&lt;/key&gt;&lt;/foreign-keys&gt;&lt;ref-type name="Journal Article"&gt;17&lt;/ref-type&gt;&lt;contributors&gt;&lt;authors&gt;&lt;author&gt;Lucena, André Frossard Pereira&lt;/author&gt;&lt;author&gt;Szklo, Alexandre Salem&lt;/author&gt;&lt;author&gt;Schaeffer, Roberto&lt;/author&gt;&lt;author&gt;Dutra, Ricardo Marques&lt;/author&gt;&lt;/authors&gt;&lt;/contributors&gt;&lt;titles&gt;&lt;title&gt;The vulnerability of wind power to climate change in Brazil&lt;/title&gt;&lt;secondary-title&gt;Renewable Energy&lt;/secondary-title&gt;&lt;/titles&gt;&lt;periodical&gt;&lt;full-title&gt;Renewable Energy&lt;/full-title&gt;&lt;/periodical&gt;&lt;pages&gt;904-912&lt;/pages&gt;&lt;volume&gt;35&lt;/volume&gt;&lt;number&gt;5&lt;/number&gt;&lt;keywords&gt;&lt;keyword&gt;Wind power&lt;/keyword&gt;&lt;keyword&gt;Global climate change&lt;/keyword&gt;&lt;keyword&gt;Impacts&lt;/keyword&gt;&lt;/keywords&gt;&lt;dates&gt;&lt;year&gt;2010&lt;/year&gt;&lt;pub-dates&gt;&lt;date&gt;5//&lt;/date&gt;&lt;/pub-dates&gt;&lt;/dates&gt;&lt;isbn&gt;0960-1481&lt;/isbn&gt;&lt;urls&gt;&lt;related-urls&gt;&lt;url&gt;http://www.sciencedirect.com/science/article/pii/S0960148109004480&lt;/url&gt;&lt;/related-urls&gt;&lt;/urls&gt;&lt;electronic-resource-num&gt;http://dx.doi.org/10.1016/j.renene.2009.10.022&lt;/electronic-resource-num&gt;&lt;/record&gt;&lt;/Cite&gt;&lt;/EndNote&gt;</w:instrText>
      </w:r>
      <w:r>
        <w:rPr>
          <w:rStyle w:val="citedauthor"/>
        </w:rPr>
        <w:fldChar w:fldCharType="separate"/>
      </w:r>
      <w:r>
        <w:rPr>
          <w:rStyle w:val="citedauthor"/>
          <w:noProof/>
        </w:rPr>
        <w:t>(Lucena, Szklo, Schaeffer, &amp; Dutra, 2010)</w:t>
      </w:r>
      <w:r>
        <w:rPr>
          <w:rStyle w:val="citedauthor"/>
        </w:rPr>
        <w:fldChar w:fldCharType="end"/>
      </w:r>
      <w:r>
        <w:rPr>
          <w:rStyle w:val="citedauthor"/>
        </w:rPr>
        <w:t>.</w:t>
      </w:r>
    </w:p>
    <w:p w14:paraId="24140D82" w14:textId="63CFDE49" w:rsidR="00242F8C" w:rsidRDefault="00755FFC" w:rsidP="00401E7F">
      <w:pPr>
        <w:pStyle w:val="texto"/>
      </w:pPr>
      <w:r>
        <w:rPr>
          <w:rStyle w:val="citedauthor"/>
        </w:rPr>
        <w:t xml:space="preserve">Regarding solar energy, Brazil has a potential for water heating and </w:t>
      </w:r>
      <w:r>
        <w:t>electricity generation. The National Energy Plan 2030 shows that Solar metric Atlas of Brazil registered radiation levels between 8 and 22 MJ/m</w:t>
      </w:r>
      <w:r w:rsidRPr="00E878D9">
        <w:rPr>
          <w:vertAlign w:val="superscript"/>
        </w:rPr>
        <w:t>2</w:t>
      </w:r>
      <w:r>
        <w:rPr>
          <w:sz w:val="12"/>
          <w:szCs w:val="12"/>
        </w:rPr>
        <w:t xml:space="preserve"> </w:t>
      </w:r>
      <w:r>
        <w:t xml:space="preserve">per day, with the lowest variations </w:t>
      </w:r>
      <w:r w:rsidRPr="00046B40">
        <w:t xml:space="preserve">occurring from May through July, from 8 to 18 MJ/m2 </w:t>
      </w:r>
      <w:r>
        <w:t xml:space="preserve">per day </w:t>
      </w:r>
      <w:r>
        <w:fldChar w:fldCharType="begin"/>
      </w:r>
      <w:r>
        <w:instrText xml:space="preserve"> ADDIN EN.CITE &lt;EndNote&gt;&lt;Cite&gt;&lt;Author&gt;Pereira&lt;/Author&gt;&lt;Year&gt;2012&lt;/Year&gt;&lt;RecNum&gt;33&lt;/RecNum&gt;&lt;DisplayText&gt;(Pereira, Camacho, Freitas, &amp;amp; Silva, 2012)&lt;/DisplayText&gt;&lt;record&gt;&lt;rec-number&gt;33&lt;/rec-number&gt;&lt;foreign-keys&gt;&lt;key app="EN" db-id="0pv0svx92d9at8efs26vverg2txfvd9pef99" timestamp="1475522978"&gt;33&lt;/key&gt;&lt;/foreign-keys&gt;&lt;ref-type name="Journal Article"&gt;17&lt;/ref-type&gt;&lt;contributors&gt;&lt;authors&gt;&lt;author&gt;Pereira, Marcio Giannini&lt;/author&gt;&lt;author&gt;Camacho, Cristiane Farias&lt;/author&gt;&lt;author&gt;Freitas, Marcos Aurélio Vasconcelos&lt;/author&gt;&lt;author&gt;Silva, Neilton Fidelis da&lt;/author&gt;&lt;/authors&gt;&lt;/contributors&gt;&lt;titles&gt;&lt;title&gt;The renewable energy market in Brazil: Current status and potential&lt;/title&gt;&lt;secondary-title&gt;Renewable and Sustainable Energy Reviews&lt;/secondary-title&gt;&lt;/titles&gt;&lt;periodical&gt;&lt;full-title&gt;Renewable and Sustainable Energy Reviews&lt;/full-title&gt;&lt;/periodical&gt;&lt;pages&gt;3786-3802&lt;/pages&gt;&lt;volume&gt;16&lt;/volume&gt;&lt;number&gt;6&lt;/number&gt;&lt;keywords&gt;&lt;keyword&gt;Renewable energy&lt;/keyword&gt;&lt;keyword&gt;Energy market&lt;/keyword&gt;&lt;keyword&gt;Energy planning&lt;/keyword&gt;&lt;keyword&gt;Brazil&lt;/keyword&gt;&lt;/keywords&gt;&lt;dates&gt;&lt;year&gt;2012&lt;/year&gt;&lt;pub-dates&gt;&lt;date&gt;8//&lt;/date&gt;&lt;/pub-dates&gt;&lt;/dates&gt;&lt;isbn&gt;1364-0321&lt;/isbn&gt;&lt;urls&gt;&lt;related-urls&gt;&lt;url&gt;http://www.sciencedirect.com/science/article/pii/S1364032112002079&lt;/url&gt;&lt;/related-urls&gt;&lt;/urls&gt;&lt;electronic-resource-num&gt;http://dx.doi.org/10.1016/j.rser.2012.03.024&lt;/electronic-resource-num&gt;&lt;/record&gt;&lt;/Cite&gt;&lt;/EndNote&gt;</w:instrText>
      </w:r>
      <w:r>
        <w:fldChar w:fldCharType="separate"/>
      </w:r>
      <w:r>
        <w:rPr>
          <w:noProof/>
        </w:rPr>
        <w:t>(Pereira, Camacho, Freitas, &amp; Silva, 2012)</w:t>
      </w:r>
      <w:r>
        <w:fldChar w:fldCharType="end"/>
      </w:r>
      <w:r w:rsidRPr="00046B40">
        <w:t xml:space="preserve">. </w:t>
      </w:r>
      <w:r>
        <w:t xml:space="preserve">India, in 2016, </w:t>
      </w:r>
      <w:r w:rsidR="008E55D9">
        <w:t>was</w:t>
      </w:r>
      <w:r w:rsidRPr="00D26C00">
        <w:t xml:space="preserve"> </w:t>
      </w:r>
      <w:r>
        <w:t>the 5</w:t>
      </w:r>
      <w:r w:rsidRPr="00D26C00">
        <w:rPr>
          <w:vertAlign w:val="superscript"/>
        </w:rPr>
        <w:t>th</w:t>
      </w:r>
      <w:r>
        <w:t xml:space="preserve"> country in the world in solar PV capacity (REN21, 2016). </w:t>
      </w:r>
      <w:r w:rsidRPr="00046B40">
        <w:t>Rajasthan</w:t>
      </w:r>
      <w:r>
        <w:t>, o</w:t>
      </w:r>
      <w:r w:rsidRPr="00046B40">
        <w:t>ne of India's most solar-developed states</w:t>
      </w:r>
      <w:r>
        <w:t>, present a radiation of 3.6 – 25.2</w:t>
      </w:r>
      <w:r w:rsidRPr="00046B40">
        <w:t xml:space="preserve"> MJ/m</w:t>
      </w:r>
      <w:r w:rsidRPr="00046B40">
        <w:rPr>
          <w:vertAlign w:val="superscript"/>
        </w:rPr>
        <w:t>2</w:t>
      </w:r>
      <w:r w:rsidRPr="00046B40">
        <w:t xml:space="preserve"> </w:t>
      </w:r>
      <w:r w:rsidR="001F02F1">
        <w:t xml:space="preserve">per </w:t>
      </w:r>
      <w:r w:rsidRPr="00046B40">
        <w:t>day</w:t>
      </w:r>
      <w:r>
        <w:t xml:space="preserve"> </w:t>
      </w:r>
      <w:r>
        <w:fldChar w:fldCharType="begin"/>
      </w:r>
      <w:r>
        <w:instrText xml:space="preserve"> ADDIN EN.CITE &lt;EndNote&gt;&lt;Cite&gt;&lt;Author&gt;Kumar&lt;/Author&gt;&lt;Year&gt;2010&lt;/Year&gt;&lt;RecNum&gt;34&lt;/RecNum&gt;&lt;DisplayText&gt;(Kumar et al., 2010)&lt;/DisplayText&gt;&lt;record&gt;&lt;rec-number&gt;34&lt;/rec-number&gt;&lt;foreign-keys&gt;&lt;key app="EN" db-id="0pv0svx92d9at8efs26vverg2txfvd9pef99" timestamp="1475523170"&gt;34&lt;/key&gt;&lt;/foreign-keys&gt;&lt;ref-type name="Journal Article"&gt;17&lt;/ref-type&gt;&lt;contributors&gt;&lt;authors&gt;&lt;author&gt;Kumar, Ashwani&lt;/author&gt;&lt;author&gt;Kumar, Kapil&lt;/author&gt;&lt;author&gt;Kaushik, Naresh&lt;/author&gt;&lt;author&gt;Sharma, Satyawati&lt;/author&gt;&lt;author&gt;Mishra, Saroj&lt;/author&gt;&lt;/authors&gt;&lt;/contributors&gt;&lt;titles&gt;&lt;title&gt;Renewable energy in India: Current status and future potentials&lt;/title&gt;&lt;secondary-title&gt;Renewable and Sustainable Energy Reviews&lt;/secondary-title&gt;&lt;/titles&gt;&lt;periodical&gt;&lt;full-title&gt;Renewable and Sustainable Energy Reviews&lt;/full-title&gt;&lt;/periodical&gt;&lt;pages&gt;2434-2442&lt;/pages&gt;&lt;volume&gt;14&lt;/volume&gt;&lt;number&gt;8&lt;/number&gt;&lt;keywords&gt;&lt;keyword&gt;Renewable energy&lt;/keyword&gt;&lt;keyword&gt;Solar&lt;/keyword&gt;&lt;keyword&gt;Wind&lt;/keyword&gt;&lt;keyword&gt;Biomass&lt;/keyword&gt;&lt;keyword&gt;Geothermal&lt;/keyword&gt;&lt;keyword&gt;Clean development mechanism&lt;/keyword&gt;&lt;/keywords&gt;&lt;dates&gt;&lt;year&gt;2010&lt;/year&gt;&lt;pub-dates&gt;&lt;date&gt;10//&lt;/date&gt;&lt;/pub-dates&gt;&lt;/dates&gt;&lt;isbn&gt;1364-0321&lt;/isbn&gt;&lt;urls&gt;&lt;related-urls&gt;&lt;url&gt;http://www.sciencedirect.com/science/article/pii/S1364032110001140&lt;/url&gt;&lt;/related-urls&gt;&lt;/urls&gt;&lt;electronic-resource-num&gt;http://dx.doi.org/10.1016/j.rser.2010.04.003&lt;/electronic-resource-num&gt;&lt;/record&gt;&lt;/Cite&gt;&lt;/EndNote&gt;</w:instrText>
      </w:r>
      <w:r>
        <w:fldChar w:fldCharType="separate"/>
      </w:r>
      <w:r>
        <w:rPr>
          <w:noProof/>
        </w:rPr>
        <w:t>(Kumar et al., 2010)</w:t>
      </w:r>
      <w:r>
        <w:fldChar w:fldCharType="end"/>
      </w:r>
      <w:r>
        <w:t xml:space="preserve">, which is closer to the Brazilian solar radiation. Therefore, </w:t>
      </w:r>
      <w:r w:rsidR="00242F8C">
        <w:t>if Brazil has similar solar insolation as India, it has the potential to develop solar energy.</w:t>
      </w:r>
    </w:p>
    <w:p w14:paraId="456B1C55" w14:textId="18F49AD9" w:rsidR="00576CD9" w:rsidRDefault="00AA0268" w:rsidP="00401E7F">
      <w:pPr>
        <w:pStyle w:val="texto"/>
      </w:pPr>
      <w:r>
        <w:t xml:space="preserve">In Brazil, </w:t>
      </w:r>
      <w:r w:rsidR="00CC1ADC">
        <w:t xml:space="preserve">electricity generation by </w:t>
      </w:r>
      <w:r w:rsidRPr="00AA0268">
        <w:t xml:space="preserve">photovoltaic systems </w:t>
      </w:r>
      <w:r w:rsidRPr="00E24BCA">
        <w:rPr>
          <w:noProof/>
        </w:rPr>
        <w:t>are</w:t>
      </w:r>
      <w:r w:rsidRPr="00AA0268">
        <w:t xml:space="preserve"> used </w:t>
      </w:r>
      <w:r>
        <w:t>only by</w:t>
      </w:r>
      <w:r w:rsidRPr="00AA0268">
        <w:t xml:space="preserve"> households </w:t>
      </w:r>
      <w:r w:rsidR="00CC1ADC">
        <w:t>in</w:t>
      </w:r>
      <w:r w:rsidRPr="00AA0268">
        <w:t xml:space="preserve"> some rural areas and </w:t>
      </w:r>
      <w:r>
        <w:t xml:space="preserve">by </w:t>
      </w:r>
      <w:r w:rsidRPr="00AA0268">
        <w:t xml:space="preserve">small commercial and public services </w:t>
      </w:r>
      <w:r w:rsidRPr="00AA0268">
        <w:fldChar w:fldCharType="begin"/>
      </w:r>
      <w:r w:rsidRPr="00AA0268">
        <w:instrText xml:space="preserve"> ADDIN EN.CITE &lt;EndNote&gt;&lt;Cite&gt;&lt;Author&gt;Pereira&lt;/Author&gt;&lt;Year&gt;2012&lt;/Year&gt;&lt;RecNum&gt;33&lt;/RecNum&gt;&lt;DisplayText&gt;(Pereira et al., 2012)&lt;/DisplayText&gt;&lt;record&gt;&lt;rec-number&gt;33&lt;/rec-number&gt;&lt;foreign-keys&gt;&lt;key app="EN" db-id="0pv0svx92d9at8efs26vverg2txfvd9pef99" timestamp="1475522978"&gt;33&lt;/key&gt;&lt;/foreign-keys&gt;&lt;ref-type name="Journal Article"&gt;17&lt;/ref-type&gt;&lt;contributors&gt;&lt;authors&gt;&lt;author&gt;Pereira, Marcio Giannini&lt;/author&gt;&lt;author&gt;Camacho, Cristiane Farias&lt;/author&gt;&lt;author&gt;Freitas, Marcos Aurélio Vasconcelos&lt;/author&gt;&lt;author&gt;Silva, Neilton Fidelis da&lt;/author&gt;&lt;/authors&gt;&lt;/contributors&gt;&lt;titles&gt;&lt;title&gt;The renewable energy market in Brazil: Current status and potential&lt;/title&gt;&lt;secondary-title&gt;Renewable and Sustainable Energy Reviews&lt;/secondary-title&gt;&lt;/titles&gt;&lt;periodical&gt;&lt;full-title&gt;Renewable and Sustainable Energy Reviews&lt;/full-title&gt;&lt;/periodical&gt;&lt;pages&gt;3786-3802&lt;/pages&gt;&lt;volume&gt;16&lt;/volume&gt;&lt;number&gt;6&lt;/number&gt;&lt;keywords&gt;&lt;keyword&gt;Renewable energy&lt;/keyword&gt;&lt;keyword&gt;Energy market&lt;/keyword&gt;&lt;keyword&gt;Energy planning&lt;/keyword&gt;&lt;keyword&gt;Brazil&lt;/keyword&gt;&lt;/keywords&gt;&lt;dates&gt;&lt;year&gt;2012&lt;/year&gt;&lt;pub-dates&gt;&lt;date&gt;8//&lt;/date&gt;&lt;/pub-dates&gt;&lt;/dates&gt;&lt;isbn&gt;1364-0321&lt;/isbn&gt;&lt;urls&gt;&lt;related-urls&gt;&lt;url&gt;http://www.sciencedirect.com/science/article/pii/S1364032112002079&lt;/url&gt;&lt;/related-urls&gt;&lt;/urls&gt;&lt;electronic-resource-num&gt;http://dx.doi.org/10.1016/j.rser.2012.03.024&lt;/electronic-resource-num&gt;&lt;/record&gt;&lt;/Cite&gt;&lt;/EndNote&gt;</w:instrText>
      </w:r>
      <w:r w:rsidRPr="00AA0268">
        <w:fldChar w:fldCharType="separate"/>
      </w:r>
      <w:r w:rsidRPr="00AA0268">
        <w:rPr>
          <w:noProof/>
        </w:rPr>
        <w:t>(Pereira et al., 2012)</w:t>
      </w:r>
      <w:r w:rsidRPr="00AA0268">
        <w:fldChar w:fldCharType="end"/>
      </w:r>
      <w:r w:rsidR="00E24BCA">
        <w:t>. The</w:t>
      </w:r>
      <w:r w:rsidR="00CC1ADC">
        <w:t xml:space="preserve"> most </w:t>
      </w:r>
      <w:r w:rsidR="00CC1ADC" w:rsidRPr="00AA0268">
        <w:t>widespread application</w:t>
      </w:r>
      <w:r w:rsidR="00E24BCA">
        <w:t xml:space="preserve"> of solar energy</w:t>
      </w:r>
      <w:r w:rsidR="00CC1ADC">
        <w:t xml:space="preserve"> is heating water. </w:t>
      </w:r>
      <w:r w:rsidR="00576CD9">
        <w:t>Brazil has no large scale solar energy production</w:t>
      </w:r>
      <w:r w:rsidR="00CC1ADC">
        <w:t>, and</w:t>
      </w:r>
      <w:r w:rsidR="00576CD9">
        <w:t xml:space="preserve"> </w:t>
      </w:r>
      <w:r w:rsidR="00576CD9" w:rsidRPr="00AA0268">
        <w:t xml:space="preserve">there is not enough public awareness of </w:t>
      </w:r>
      <w:r w:rsidR="00CC1ADC">
        <w:t>the</w:t>
      </w:r>
      <w:r w:rsidR="00576CD9" w:rsidRPr="00AA0268">
        <w:t xml:space="preserve"> </w:t>
      </w:r>
      <w:r w:rsidR="00CC1ADC" w:rsidRPr="00AA0268">
        <w:t>advantage</w:t>
      </w:r>
      <w:r w:rsidR="00CC1ADC">
        <w:t>s</w:t>
      </w:r>
      <w:r w:rsidR="00CC1ADC" w:rsidRPr="00AA0268">
        <w:t xml:space="preserve"> </w:t>
      </w:r>
      <w:r w:rsidR="00CC1ADC">
        <w:t xml:space="preserve">of this </w:t>
      </w:r>
      <w:r w:rsidR="00576CD9" w:rsidRPr="00AA0268">
        <w:t xml:space="preserve">technology to boost the industry </w:t>
      </w:r>
      <w:r w:rsidR="00576CD9" w:rsidRPr="00AA0268">
        <w:rPr>
          <w:rStyle w:val="citedauthor"/>
        </w:rPr>
        <w:fldChar w:fldCharType="begin"/>
      </w:r>
      <w:r w:rsidR="00576CD9" w:rsidRPr="00AA0268">
        <w:rPr>
          <w:rStyle w:val="citedauthor"/>
        </w:rPr>
        <w:instrText xml:space="preserve"> ADDIN EN.CITE &lt;EndNote&gt;&lt;Cite&gt;&lt;Author&gt;Martins&lt;/Author&gt;&lt;Year&gt;2011&lt;/Year&gt;&lt;RecNum&gt;30&lt;/RecNum&gt;&lt;DisplayText&gt;(Martins &amp;amp; Pereira, 2011)&lt;/DisplayText&gt;&lt;record&gt;&lt;rec-number&gt;30&lt;/rec-number&gt;&lt;foreign-keys&gt;&lt;key app="EN" db-id="0pv0svx92d9at8efs26vverg2txfvd9pef99" timestamp="1475458278"&gt;30&lt;/key&gt;&lt;/foreign-keys&gt;&lt;ref-type name="Journal Article"&gt;17&lt;/ref-type&gt;&lt;contributors&gt;&lt;authors&gt;&lt;author&gt;Martins, F. R.&lt;/author&gt;&lt;author&gt;Pereira, E. B.&lt;/author&gt;&lt;/authors&gt;&lt;/contributors&gt;&lt;titles&gt;&lt;title&gt;Enhancing information for solar and wind energy technology deployment in Brazil&lt;/title&gt;&lt;secondary-title&gt;Energy Policy&lt;/secondary-title&gt;&lt;/titles&gt;&lt;periodical&gt;&lt;full-title&gt;Energy Policy&lt;/full-title&gt;&lt;/periodical&gt;&lt;pages&gt;4378-4390&lt;/pages&gt;&lt;volume&gt;39&lt;/volume&gt;&lt;number&gt;7&lt;/number&gt;&lt;keywords&gt;&lt;keyword&gt;Solar energy&lt;/keyword&gt;&lt;keyword&gt;Wind energy&lt;/keyword&gt;&lt;keyword&gt;Incentive policies&lt;/keyword&gt;&lt;/keywords&gt;&lt;dates&gt;&lt;year&gt;2011&lt;/year&gt;&lt;pub-dates&gt;&lt;date&gt;7//&lt;/date&gt;&lt;/pub-dates&gt;&lt;/dates&gt;&lt;isbn&gt;0301-4215&lt;/isbn&gt;&lt;urls&gt;&lt;related-urls&gt;&lt;url&gt;http://www.sciencedirect.com/science/article/pii/S0301421511003417&lt;/url&gt;&lt;/related-urls&gt;&lt;/urls&gt;&lt;electronic-resource-num&gt;http://dx.doi.org/10.1016/j.enpol.2011.04.058&lt;/electronic-resource-num&gt;&lt;/record&gt;&lt;/Cite&gt;&lt;/EndNote&gt;</w:instrText>
      </w:r>
      <w:r w:rsidR="00576CD9" w:rsidRPr="00AA0268">
        <w:rPr>
          <w:rStyle w:val="citedauthor"/>
        </w:rPr>
        <w:fldChar w:fldCharType="separate"/>
      </w:r>
      <w:r w:rsidR="00576CD9" w:rsidRPr="00AA0268">
        <w:rPr>
          <w:rStyle w:val="citedauthor"/>
          <w:noProof/>
        </w:rPr>
        <w:t>(Martins &amp; Pereira, 2011)</w:t>
      </w:r>
      <w:r w:rsidR="00576CD9" w:rsidRPr="00AA0268">
        <w:rPr>
          <w:rStyle w:val="citedauthor"/>
        </w:rPr>
        <w:fldChar w:fldCharType="end"/>
      </w:r>
      <w:r w:rsidR="00576CD9" w:rsidRPr="00AA0268">
        <w:t>.</w:t>
      </w:r>
      <w:r w:rsidR="00CC1ADC">
        <w:t xml:space="preserve"> </w:t>
      </w:r>
    </w:p>
    <w:p w14:paraId="7BBF0D34" w14:textId="0793E3DC" w:rsidR="00CC1ADC" w:rsidRDefault="005F3605" w:rsidP="00CC1ADC">
      <w:pPr>
        <w:pStyle w:val="texto"/>
        <w:tabs>
          <w:tab w:val="left" w:pos="3082"/>
        </w:tabs>
        <w:rPr>
          <w:rStyle w:val="citedauthor"/>
        </w:rPr>
      </w:pPr>
      <w:r w:rsidRPr="005618C1">
        <w:rPr>
          <w:rStyle w:val="citedauthor"/>
        </w:rPr>
        <w:t>Public policies to</w:t>
      </w:r>
      <w:r w:rsidR="00CC1ADC" w:rsidRPr="005618C1">
        <w:rPr>
          <w:rStyle w:val="citedauthor"/>
        </w:rPr>
        <w:t xml:space="preserve"> </w:t>
      </w:r>
      <w:r w:rsidRPr="005618C1">
        <w:rPr>
          <w:rStyle w:val="citedauthor"/>
        </w:rPr>
        <w:t>diversify</w:t>
      </w:r>
      <w:r w:rsidR="00CC1ADC" w:rsidRPr="005618C1">
        <w:rPr>
          <w:rStyle w:val="citedauthor"/>
        </w:rPr>
        <w:t xml:space="preserve"> the </w:t>
      </w:r>
      <w:r w:rsidR="005618C1" w:rsidRPr="005618C1">
        <w:rPr>
          <w:rStyle w:val="citedauthor"/>
        </w:rPr>
        <w:t>electrical</w:t>
      </w:r>
      <w:r w:rsidR="00CC1ADC" w:rsidRPr="005618C1">
        <w:rPr>
          <w:rStyle w:val="citedauthor"/>
        </w:rPr>
        <w:t xml:space="preserve"> matrix</w:t>
      </w:r>
      <w:r w:rsidRPr="005618C1">
        <w:rPr>
          <w:rStyle w:val="citedauthor"/>
        </w:rPr>
        <w:t xml:space="preserve"> have</w:t>
      </w:r>
      <w:r w:rsidR="00CC1ADC" w:rsidRPr="005618C1">
        <w:rPr>
          <w:rStyle w:val="citedauthor"/>
        </w:rPr>
        <w:t xml:space="preserve"> </w:t>
      </w:r>
      <w:r w:rsidR="00CC1ADC" w:rsidRPr="005618C1">
        <w:t xml:space="preserve">never been a priority because of the low cost of hydraulic-based energy (Cavalieiro &amp; Da Silva, 2005; </w:t>
      </w:r>
      <w:r w:rsidR="00CC1ADC" w:rsidRPr="005618C1">
        <w:rPr>
          <w:rStyle w:val="citedauthor"/>
        </w:rPr>
        <w:t xml:space="preserve">Martins &amp; Pereira, 2011). </w:t>
      </w:r>
      <w:r w:rsidRPr="005618C1">
        <w:rPr>
          <w:rStyle w:val="citedauthor"/>
        </w:rPr>
        <w:t>Researchers also</w:t>
      </w:r>
      <w:r w:rsidR="00755FFC" w:rsidRPr="005618C1">
        <w:rPr>
          <w:rStyle w:val="citedauthor"/>
        </w:rPr>
        <w:t xml:space="preserve"> </w:t>
      </w:r>
      <w:r w:rsidR="00CC1ADC" w:rsidRPr="005618C1">
        <w:rPr>
          <w:rStyle w:val="citedauthor"/>
        </w:rPr>
        <w:t>point out</w:t>
      </w:r>
      <w:r w:rsidR="00755FFC" w:rsidRPr="005618C1">
        <w:rPr>
          <w:rStyle w:val="citedauthor"/>
        </w:rPr>
        <w:t xml:space="preserve"> that one of the biggest barriers </w:t>
      </w:r>
      <w:r w:rsidR="00CC1ADC" w:rsidRPr="005618C1">
        <w:rPr>
          <w:rStyle w:val="citedauthor"/>
        </w:rPr>
        <w:t>developing and disseminating</w:t>
      </w:r>
      <w:r w:rsidR="00755FFC" w:rsidRPr="005618C1">
        <w:rPr>
          <w:rStyle w:val="citedauthor"/>
        </w:rPr>
        <w:t xml:space="preserve"> </w:t>
      </w:r>
      <w:r w:rsidR="00755FFC" w:rsidRPr="00E24BCA">
        <w:rPr>
          <w:rStyle w:val="citedauthor"/>
          <w:noProof/>
        </w:rPr>
        <w:t>wind</w:t>
      </w:r>
      <w:r w:rsidR="00755FFC" w:rsidRPr="005618C1">
        <w:rPr>
          <w:rStyle w:val="citedauthor"/>
        </w:rPr>
        <w:t xml:space="preserve"> and solar</w:t>
      </w:r>
      <w:r w:rsidR="00CC1ADC" w:rsidRPr="005618C1">
        <w:rPr>
          <w:rStyle w:val="citedauthor"/>
        </w:rPr>
        <w:t xml:space="preserve"> energy is</w:t>
      </w:r>
      <w:r w:rsidR="00755FFC" w:rsidRPr="005618C1">
        <w:rPr>
          <w:rStyle w:val="citedauthor"/>
        </w:rPr>
        <w:t xml:space="preserve"> their high cost </w:t>
      </w:r>
      <w:r w:rsidR="00CC1ADC" w:rsidRPr="005618C1">
        <w:rPr>
          <w:rStyle w:val="citedauthor"/>
        </w:rPr>
        <w:t>relative</w:t>
      </w:r>
      <w:r w:rsidRPr="005618C1">
        <w:rPr>
          <w:rStyle w:val="citedauthor"/>
        </w:rPr>
        <w:t xml:space="preserve"> to</w:t>
      </w:r>
      <w:r w:rsidR="00755FFC" w:rsidRPr="005618C1">
        <w:rPr>
          <w:rStyle w:val="citedauthor"/>
        </w:rPr>
        <w:t xml:space="preserve"> conventional sources </w:t>
      </w:r>
      <w:r w:rsidR="00755FFC" w:rsidRPr="005618C1">
        <w:rPr>
          <w:rStyle w:val="citedauthor"/>
        </w:rPr>
        <w:fldChar w:fldCharType="begin"/>
      </w:r>
      <w:r w:rsidR="00755FFC" w:rsidRPr="005618C1">
        <w:rPr>
          <w:rStyle w:val="citedauthor"/>
        </w:rPr>
        <w:instrText xml:space="preserve"> ADDIN EN.CITE &lt;EndNote&gt;&lt;Cite&gt;&lt;Author&gt;Cavaliero&lt;/Author&gt;&lt;Year&gt;2005&lt;/Year&gt;&lt;RecNum&gt;15&lt;/RecNum&gt;&lt;DisplayText&gt;(Cavaliero &amp;amp; Da Silva, 2005)&lt;/DisplayText&gt;&lt;record&gt;&lt;rec-number&gt;15&lt;/rec-number&gt;&lt;foreign-keys&gt;&lt;key app="EN" db-id="0pv0svx92d9at8efs26vverg2txfvd9pef99" timestamp="1475447176"&gt;15&lt;/key&gt;&lt;/foreign-keys&gt;&lt;ref-type name="Journal Article"&gt;17&lt;/ref-type&gt;&lt;contributors&gt;&lt;authors&gt;&lt;author&gt;Cavaliero, Carla Kazue Nakao&lt;/author&gt;&lt;author&gt;Da Silva, Ennio Peres&lt;/author&gt;&lt;/authors&gt;&lt;/contributors&gt;&lt;titles&gt;&lt;title&gt;Electricity generation:: regulatory mechanisms to incentive renewable alternative energy sources in Brazil&lt;/title&gt;&lt;secondary-title&gt;Energy Policy&lt;/secondary-title&gt;&lt;/titles&gt;&lt;periodical&gt;&lt;full-title&gt;Energy Policy&lt;/full-title&gt;&lt;/periodical&gt;&lt;pages&gt;1745-1752&lt;/pages&gt;&lt;volume&gt;33&lt;/volume&gt;&lt;number&gt;13&lt;/number&gt;&lt;keywords&gt;&lt;keyword&gt;Renewable alternative energy sources&lt;/keyword&gt;&lt;keyword&gt;Regulatory mechanisms&lt;/keyword&gt;&lt;keyword&gt;Brazil&lt;/keyword&gt;&lt;/keywords&gt;&lt;dates&gt;&lt;year&gt;2005&lt;/year&gt;&lt;pub-dates&gt;&lt;date&gt;9//&lt;/date&gt;&lt;/pub-dates&gt;&lt;/dates&gt;&lt;isbn&gt;0301-4215&lt;/isbn&gt;&lt;urls&gt;&lt;related-urls&gt;&lt;url&gt;http://www.sciencedirect.com/science/article/pii/S0301421504000461&lt;/url&gt;&lt;/related-urls&gt;&lt;/urls&gt;&lt;electronic-resource-num&gt;http://dx.doi.org/10.1016/j.enpol.2004.02.012&lt;/electronic-resource-num&gt;&lt;/record&gt;&lt;/Cite&gt;&lt;/EndNote&gt;</w:instrText>
      </w:r>
      <w:r w:rsidR="00755FFC" w:rsidRPr="005618C1">
        <w:rPr>
          <w:rStyle w:val="citedauthor"/>
        </w:rPr>
        <w:fldChar w:fldCharType="separate"/>
      </w:r>
      <w:r w:rsidR="00755FFC" w:rsidRPr="005618C1">
        <w:rPr>
          <w:rStyle w:val="citedauthor"/>
          <w:noProof/>
        </w:rPr>
        <w:t>(Cavaliero &amp; Da Silva, 2005)</w:t>
      </w:r>
      <w:r w:rsidR="00755FFC" w:rsidRPr="005618C1">
        <w:rPr>
          <w:rStyle w:val="citedauthor"/>
        </w:rPr>
        <w:fldChar w:fldCharType="end"/>
      </w:r>
      <w:r w:rsidR="00CC1ADC" w:rsidRPr="005618C1">
        <w:rPr>
          <w:rStyle w:val="citedauthor"/>
        </w:rPr>
        <w:t xml:space="preserve">. These </w:t>
      </w:r>
      <w:r w:rsidRPr="005618C1">
        <w:rPr>
          <w:rStyle w:val="citedauthor"/>
        </w:rPr>
        <w:t>researchers</w:t>
      </w:r>
      <w:r w:rsidR="00CC1ADC" w:rsidRPr="005618C1">
        <w:rPr>
          <w:rStyle w:val="citedauthor"/>
        </w:rPr>
        <w:t xml:space="preserve"> consider the prices of the year 2000, which were too high. </w:t>
      </w:r>
      <w:r w:rsidR="00FB0E5E" w:rsidRPr="005618C1">
        <w:rPr>
          <w:rStyle w:val="citedauthor"/>
        </w:rPr>
        <w:t xml:space="preserve">However, </w:t>
      </w:r>
      <w:r w:rsidR="00FB0E5E" w:rsidRPr="005618C1">
        <w:rPr>
          <w:rStyle w:val="citedauthor"/>
        </w:rPr>
        <w:lastRenderedPageBreak/>
        <w:t>s</w:t>
      </w:r>
      <w:r w:rsidR="00755FFC" w:rsidRPr="005618C1">
        <w:rPr>
          <w:rStyle w:val="citedauthor"/>
        </w:rPr>
        <w:t>ince 2010</w:t>
      </w:r>
      <w:r w:rsidR="00CC1ADC" w:rsidRPr="005618C1">
        <w:rPr>
          <w:rStyle w:val="citedauthor"/>
        </w:rPr>
        <w:t>,</w:t>
      </w:r>
      <w:r w:rsidR="00755FFC" w:rsidRPr="005618C1">
        <w:rPr>
          <w:rStyle w:val="citedauthor"/>
        </w:rPr>
        <w:t xml:space="preserve"> advance</w:t>
      </w:r>
      <w:r w:rsidR="00CC1ADC" w:rsidRPr="005618C1">
        <w:rPr>
          <w:rStyle w:val="citedauthor"/>
        </w:rPr>
        <w:t>s</w:t>
      </w:r>
      <w:r w:rsidRPr="005618C1">
        <w:rPr>
          <w:rStyle w:val="citedauthor"/>
        </w:rPr>
        <w:t xml:space="preserve"> in technology have</w:t>
      </w:r>
      <w:r w:rsidR="00755FFC" w:rsidRPr="005618C1">
        <w:rPr>
          <w:rStyle w:val="citedauthor"/>
        </w:rPr>
        <w:t xml:space="preserve"> </w:t>
      </w:r>
      <w:r w:rsidR="00CC1ADC" w:rsidRPr="005618C1">
        <w:rPr>
          <w:rStyle w:val="citedauthor"/>
        </w:rPr>
        <w:t>made renewables more affordable and more attractive.</w:t>
      </w:r>
    </w:p>
    <w:p w14:paraId="567F2E91" w14:textId="5F05909E" w:rsidR="005618C1" w:rsidRDefault="005618C1" w:rsidP="005618C1">
      <w:pPr>
        <w:pStyle w:val="texto"/>
        <w:tabs>
          <w:tab w:val="left" w:pos="2088"/>
        </w:tabs>
      </w:pPr>
      <w:r w:rsidRPr="00EF2473">
        <w:rPr>
          <w:rStyle w:val="citedauthor"/>
        </w:rPr>
        <w:t xml:space="preserve">The energy demand in Brazil </w:t>
      </w:r>
      <w:r>
        <w:t xml:space="preserve">increased rapidly since 1975 </w:t>
      </w:r>
      <w:r>
        <w:fldChar w:fldCharType="begin"/>
      </w:r>
      <w:r>
        <w:instrText xml:space="preserve"> ADDIN EN.CITE &lt;EndNote&gt;&lt;Cite&gt;&lt;Author&gt;Geller&lt;/Author&gt;&lt;Year&gt;2004&lt;/Year&gt;&lt;RecNum&gt;20&lt;/RecNum&gt;&lt;DisplayText&gt;(Geller, Schaeffer, Szklo, &amp;amp; Tolmasquim, 2004)&lt;/DisplayText&gt;&lt;record&gt;&lt;rec-number&gt;20&lt;/rec-number&gt;&lt;foreign-keys&gt;&lt;key app="EN" db-id="0pv0svx92d9at8efs26vverg2txfvd9pef99" timestamp="1475450580"&gt;20&lt;/key&gt;&lt;/foreign-keys&gt;&lt;ref-type name="Journal Article"&gt;17&lt;/ref-type&gt;&lt;contributors&gt;&lt;authors&gt;&lt;author&gt;Geller, Howard&lt;/author&gt;&lt;author&gt;Schaeffer, Roberto&lt;/author&gt;&lt;author&gt;Szklo, Alexandre&lt;/author&gt;&lt;author&gt;Tolmasquim, Mauricio&lt;/author&gt;&lt;/authors&gt;&lt;/contributors&gt;&lt;titles&gt;&lt;title&gt;Policies for advancing energy efficiency and renewable energy use in Brazil&lt;/title&gt;&lt;secondary-title&gt;Energy Policy&lt;/secondary-title&gt;&lt;/titles&gt;&lt;periodical&gt;&lt;full-title&gt;Energy Policy&lt;/full-title&gt;&lt;/periodical&gt;&lt;pages&gt;1437-1450&lt;/pages&gt;&lt;volume&gt;32&lt;/volume&gt;&lt;number&gt;12&lt;/number&gt;&lt;keywords&gt;&lt;keyword&gt;Brazil&lt;/keyword&gt;&lt;keyword&gt;Energy efficiency&lt;/keyword&gt;&lt;keyword&gt;Renewable energy&lt;/keyword&gt;&lt;keyword&gt;CO2 emissions&lt;/keyword&gt;&lt;/keywords&gt;&lt;dates&gt;&lt;year&gt;2004&lt;/year&gt;&lt;pub-dates&gt;&lt;date&gt;8//&lt;/date&gt;&lt;/pub-dates&gt;&lt;/dates&gt;&lt;isbn&gt;0301-4215&lt;/isbn&gt;&lt;urls&gt;&lt;related-urls&gt;&lt;url&gt;http://www.sciencedirect.com/science/article/pii/S0301421503001228&lt;/url&gt;&lt;/related-urls&gt;&lt;/urls&gt;&lt;electronic-resource-num&gt;http://dx.doi.org/10.1016/S0301-4215(03)00122-8&lt;/electronic-resource-num&gt;&lt;/record&gt;&lt;/Cite&gt;&lt;/EndNote&gt;</w:instrText>
      </w:r>
      <w:r>
        <w:fldChar w:fldCharType="separate"/>
      </w:r>
      <w:r>
        <w:rPr>
          <w:noProof/>
        </w:rPr>
        <w:t>(Geller, Schaeffer, Szklo, &amp; Tolmasquim, 2004)</w:t>
      </w:r>
      <w:r>
        <w:fldChar w:fldCharType="end"/>
      </w:r>
      <w:r>
        <w:t xml:space="preserve"> because of industrialization and urbanization (Tolmasquim et al., 1998), and it continues raising.</w:t>
      </w:r>
      <w:r w:rsidR="00E24BCA">
        <w:t xml:space="preserve"> </w:t>
      </w:r>
      <w:r>
        <w:t xml:space="preserve">Brazilian government intends to attend the electrical demand </w:t>
      </w:r>
      <w:r w:rsidRPr="00164022">
        <w:rPr>
          <w:noProof/>
        </w:rPr>
        <w:t>by:</w:t>
      </w:r>
      <w:r>
        <w:t xml:space="preserve"> improving energy efficiency; building more hydropower wit emphasizes on projects in Amazon; </w:t>
      </w:r>
      <w:r w:rsidR="00164022">
        <w:t>increasing the share of</w:t>
      </w:r>
      <w:r>
        <w:t xml:space="preserve"> other </w:t>
      </w:r>
      <w:r w:rsidRPr="00892F9B">
        <w:rPr>
          <w:noProof/>
        </w:rPr>
        <w:t>renewable sources for electricity generation such as wind farms, small hydroelectric plants, biomass, and biofuels (Brasil, 2008).</w:t>
      </w:r>
    </w:p>
    <w:p w14:paraId="60925E48" w14:textId="2E60AB10" w:rsidR="005618C1" w:rsidRPr="005618C1" w:rsidRDefault="00164022" w:rsidP="00164022">
      <w:pPr>
        <w:pStyle w:val="texto"/>
        <w:rPr>
          <w:noProof/>
        </w:rPr>
      </w:pPr>
      <w:r>
        <w:rPr>
          <w:noProof/>
        </w:rPr>
        <w:t xml:space="preserve">In fact, </w:t>
      </w:r>
      <w:r>
        <w:t>e</w:t>
      </w:r>
      <w:r w:rsidRPr="001D22E3">
        <w:t>nergy supply in Brazil is dominated</w:t>
      </w:r>
      <w:r>
        <w:t xml:space="preserve"> </w:t>
      </w:r>
      <w:r w:rsidRPr="001D22E3">
        <w:t>by two forms of energy:</w:t>
      </w:r>
      <w:r>
        <w:t xml:space="preserve"> petroleum and </w:t>
      </w:r>
      <w:r w:rsidRPr="003D63E0">
        <w:t xml:space="preserve">hydroelectricity </w:t>
      </w:r>
      <w:r w:rsidRPr="003D63E0">
        <w:fldChar w:fldCharType="begin"/>
      </w:r>
      <w:r w:rsidRPr="003D63E0">
        <w:instrText xml:space="preserve"> ADDIN EN.CITE &lt;EndNote&gt;&lt;Cite&gt;&lt;Author&gt;Geller&lt;/Author&gt;&lt;Year&gt;2004&lt;/Year&gt;&lt;RecNum&gt;20&lt;/RecNum&gt;&lt;DisplayText&gt;(Geller et al., 2004)&lt;/DisplayText&gt;&lt;record&gt;&lt;rec-number&gt;20&lt;/rec-number&gt;&lt;foreign-keys&gt;&lt;key app="EN" db-id="0pv0svx92d9at8efs26vverg2txfvd9pef99" timestamp="1475450580"&gt;20&lt;/key&gt;&lt;/foreign-keys&gt;&lt;ref-type name="Journal Article"&gt;17&lt;/ref-type&gt;&lt;contributors&gt;&lt;authors&gt;&lt;author&gt;Geller, Howard&lt;/author&gt;&lt;author&gt;Schaeffer, Roberto&lt;/author&gt;&lt;author&gt;Szklo, Alexandre&lt;/author&gt;&lt;author&gt;Tolmasquim, Mauricio&lt;/author&gt;&lt;/authors&gt;&lt;/contributors&gt;&lt;titles&gt;&lt;title&gt;Policies for advancing energy efficiency and renewable energy use in Brazil&lt;/title&gt;&lt;secondary-title&gt;Energy Policy&lt;/secondary-title&gt;&lt;/titles&gt;&lt;periodical&gt;&lt;full-title&gt;Energy Policy&lt;/full-title&gt;&lt;/periodical&gt;&lt;pages&gt;1437-1450&lt;/pages&gt;&lt;volume&gt;32&lt;/volume&gt;&lt;number&gt;12&lt;/number&gt;&lt;keywords&gt;&lt;keyword&gt;Brazil&lt;/keyword&gt;&lt;keyword&gt;Energy efficiency&lt;/keyword&gt;&lt;keyword&gt;Renewable energy&lt;/keyword&gt;&lt;keyword&gt;CO2 emissions&lt;/keyword&gt;&lt;/keywords&gt;&lt;dates&gt;&lt;year&gt;2004&lt;/year&gt;&lt;pub-dates&gt;&lt;date&gt;8//&lt;/date&gt;&lt;/pub-dates&gt;&lt;/dates&gt;&lt;isbn&gt;0301-4215&lt;/isbn&gt;&lt;urls&gt;&lt;related-urls&gt;&lt;url&gt;http://www.sciencedirect.com/science/article/pii/S0301421503001228&lt;/url&gt;&lt;/related-urls&gt;&lt;/urls&gt;&lt;electronic-resource-num&gt;http://dx.doi.org/10.1016/S0301-4215(03)00122-8&lt;/electronic-resource-num&gt;&lt;/record&gt;&lt;/Cite&gt;&lt;/EndNote&gt;</w:instrText>
      </w:r>
      <w:r w:rsidRPr="003D63E0">
        <w:fldChar w:fldCharType="separate"/>
      </w:r>
      <w:r w:rsidRPr="003D63E0">
        <w:t>(Geller et al., 2004)</w:t>
      </w:r>
      <w:r w:rsidRPr="003D63E0">
        <w:fldChar w:fldCharType="end"/>
      </w:r>
      <w:r w:rsidRPr="003D63E0">
        <w:t>.</w:t>
      </w:r>
      <w:r>
        <w:t xml:space="preserve"> </w:t>
      </w:r>
      <w:r>
        <w:rPr>
          <w:rStyle w:val="citedauthor"/>
        </w:rPr>
        <w:t xml:space="preserve">Cao (2003) claims that </w:t>
      </w:r>
      <w:r>
        <w:t xml:space="preserve">often countries, such as Brazil, are placed in a dilemma between economic growth and environment / social objectives. </w:t>
      </w:r>
      <w:r>
        <w:rPr>
          <w:rStyle w:val="citedauthor"/>
        </w:rPr>
        <w:t xml:space="preserve">Ross (2012) argues that there is a ‘curse’ in many developing countries when they decide to explore their natural </w:t>
      </w:r>
      <w:r w:rsidRPr="00164022">
        <w:rPr>
          <w:rStyle w:val="citedauthor"/>
          <w:noProof/>
        </w:rPr>
        <w:t>resources</w:t>
      </w:r>
      <w:r>
        <w:rPr>
          <w:rStyle w:val="citedauthor"/>
        </w:rPr>
        <w:t xml:space="preserve"> because instead of those contribute </w:t>
      </w:r>
      <w:r>
        <w:rPr>
          <w:rStyle w:val="citedauthor"/>
          <w:noProof/>
        </w:rPr>
        <w:t>to</w:t>
      </w:r>
      <w:r>
        <w:rPr>
          <w:rStyle w:val="citedauthor"/>
        </w:rPr>
        <w:t xml:space="preserve"> the country economic development, they increase negative caracteristics, such as corruption or authoritarian government. </w:t>
      </w:r>
    </w:p>
    <w:p w14:paraId="06F18E56" w14:textId="1931993C" w:rsidR="005618C1" w:rsidRDefault="00320646" w:rsidP="005618C1">
      <w:pPr>
        <w:pStyle w:val="texto"/>
        <w:tabs>
          <w:tab w:val="left" w:pos="2088"/>
        </w:tabs>
        <w:rPr>
          <w:noProof/>
        </w:rPr>
      </w:pPr>
      <w:r w:rsidRPr="009F08CD">
        <w:t>O</w:t>
      </w:r>
      <w:r>
        <w:t xml:space="preserve">ver the past 25 years, Brazil </w:t>
      </w:r>
      <w:r w:rsidRPr="009F08CD">
        <w:t xml:space="preserve">has attempted to reduce its foreign dependency on </w:t>
      </w:r>
      <w:r>
        <w:t>energy supplies</w:t>
      </w:r>
      <w:r w:rsidRPr="009F08CD">
        <w:t xml:space="preserve"> stimulating the domestic sources </w:t>
      </w:r>
      <w:r w:rsidRPr="009F08CD">
        <w:fldChar w:fldCharType="begin"/>
      </w:r>
      <w:r w:rsidRPr="009F08CD">
        <w:instrText xml:space="preserve"> ADDIN EN.CITE &lt;EndNote&gt;&lt;Cite&gt;&lt;Author&gt;Geller&lt;/Author&gt;&lt;Year&gt;2004&lt;/Year&gt;&lt;RecNum&gt;20&lt;/RecNum&gt;&lt;DisplayText&gt;(Geller et al., 2004)&lt;/DisplayText&gt;&lt;record&gt;&lt;rec-number&gt;20&lt;/rec-number&gt;&lt;foreign-keys&gt;&lt;key app="EN" db-id="0pv0svx92d9at8efs26vverg2txfvd9pef99" timestamp="1475450580"&gt;20&lt;/key&gt;&lt;/foreign-keys&gt;&lt;ref-type name="Journal Article"&gt;17&lt;/ref-type&gt;&lt;contributors&gt;&lt;authors&gt;&lt;author&gt;Geller, Howard&lt;/author&gt;&lt;author&gt;Schaeffer, Roberto&lt;/author&gt;&lt;author&gt;Szklo, Alexandre&lt;/author&gt;&lt;author&gt;Tolmasquim, Mauricio&lt;/author&gt;&lt;/authors&gt;&lt;/contributors&gt;&lt;titles&gt;&lt;title&gt;Policies for advancing energy efficiency and renewable energy use in Brazil&lt;/title&gt;&lt;secondary-title&gt;Energy Policy&lt;/secondary-title&gt;&lt;/titles&gt;&lt;periodical&gt;&lt;full-title&gt;Energy Policy&lt;/full-title&gt;&lt;/periodical&gt;&lt;pages&gt;1437-1450&lt;/pages&gt;&lt;volume&gt;32&lt;/volume&gt;&lt;number&gt;12&lt;/number&gt;&lt;keywords&gt;&lt;keyword&gt;Brazil&lt;/keyword&gt;&lt;keyword&gt;Energy efficiency&lt;/keyword&gt;&lt;keyword&gt;Renewable energy&lt;/keyword&gt;&lt;keyword&gt;CO2 emissions&lt;/keyword&gt;&lt;/keywords&gt;&lt;dates&gt;&lt;year&gt;2004&lt;/year&gt;&lt;pub-dates&gt;&lt;date&gt;8//&lt;/date&gt;&lt;/pub-dates&gt;&lt;/dates&gt;&lt;isbn&gt;0301-4215&lt;/isbn&gt;&lt;urls&gt;&lt;related-urls&gt;&lt;url&gt;http://www.sciencedirect.com/science/article/pii/S0301421503001228&lt;/url&gt;&lt;/related-urls&gt;&lt;/urls&gt;&lt;electronic-resource-num&gt;http://dx.doi.org/10.1016/S0301-4215(03)00122-8&lt;/electronic-resource-num&gt;&lt;/record&gt;&lt;/Cite&gt;&lt;/EndNote&gt;</w:instrText>
      </w:r>
      <w:r w:rsidRPr="009F08CD">
        <w:fldChar w:fldCharType="separate"/>
      </w:r>
      <w:r w:rsidRPr="009F08CD">
        <w:t>(Geller et al., 2004)</w:t>
      </w:r>
      <w:r w:rsidRPr="009F08CD">
        <w:fldChar w:fldCharType="end"/>
      </w:r>
      <w:r>
        <w:t xml:space="preserve">. In the 1970s, Brazil started the offshore oil extraction in deeo water. </w:t>
      </w:r>
      <w:r w:rsidRPr="00B10AEA">
        <w:t xml:space="preserve">According to </w:t>
      </w:r>
      <w:r>
        <w:t xml:space="preserve">the </w:t>
      </w:r>
      <w:r w:rsidRPr="00B10AEA">
        <w:t>U.S. Energy Information Administration (EIA) 2014,</w:t>
      </w:r>
      <w:r>
        <w:t xml:space="preserve"> regarding proven oil reserves in the world, Brazil is in the </w:t>
      </w:r>
      <w:r w:rsidRPr="00B10AEA">
        <w:t>15</w:t>
      </w:r>
      <w:r w:rsidRPr="00B10AEA">
        <w:rPr>
          <w:vertAlign w:val="superscript"/>
        </w:rPr>
        <w:t>th</w:t>
      </w:r>
      <w:r w:rsidRPr="00B10AEA">
        <w:t xml:space="preserve"> </w:t>
      </w:r>
      <w:r>
        <w:t>position. R</w:t>
      </w:r>
      <w:r w:rsidRPr="00B10AEA">
        <w:t>egarding production, Brazil is the 9</w:t>
      </w:r>
      <w:r w:rsidRPr="00B10AEA">
        <w:rPr>
          <w:vertAlign w:val="superscript"/>
        </w:rPr>
        <w:t>th</w:t>
      </w:r>
      <w:r>
        <w:t xml:space="preserve">, </w:t>
      </w:r>
      <w:r w:rsidRPr="00B10AEA">
        <w:t xml:space="preserve">responsible </w:t>
      </w:r>
      <w:r>
        <w:rPr>
          <w:noProof/>
        </w:rPr>
        <w:t>for</w:t>
      </w:r>
      <w:r>
        <w:t xml:space="preserve"> 3% of the mundial oil production.</w:t>
      </w:r>
    </w:p>
    <w:p w14:paraId="78ABFBC7" w14:textId="7D809505" w:rsidR="00401E7F" w:rsidRDefault="00755FFC" w:rsidP="00401E7F">
      <w:pPr>
        <w:pStyle w:val="texto"/>
      </w:pPr>
      <w:r w:rsidRPr="00CA2F42">
        <w:t>In 2006</w:t>
      </w:r>
      <w:r>
        <w:t xml:space="preserve">, </w:t>
      </w:r>
      <w:r w:rsidRPr="00CA2F42">
        <w:t xml:space="preserve">a </w:t>
      </w:r>
      <w:r w:rsidRPr="00892F9B">
        <w:rPr>
          <w:noProof/>
        </w:rPr>
        <w:t>promising</w:t>
      </w:r>
      <w:r w:rsidRPr="00CA2F42">
        <w:t xml:space="preserve"> oil deposit</w:t>
      </w:r>
      <w:r>
        <w:t xml:space="preserve"> </w:t>
      </w:r>
      <w:r w:rsidRPr="00E83D14">
        <w:rPr>
          <w:noProof/>
        </w:rPr>
        <w:t>was discovered</w:t>
      </w:r>
      <w:r>
        <w:t xml:space="preserve"> – the Pre-salt field.</w:t>
      </w:r>
      <w:r w:rsidRPr="003C08E6">
        <w:t xml:space="preserve"> </w:t>
      </w:r>
      <w:r w:rsidRPr="00CA2F42">
        <w:t>Brazil used to extract oil from the post-salt layer</w:t>
      </w:r>
      <w:r>
        <w:t xml:space="preserve">, and the new reserve is under the current </w:t>
      </w:r>
      <w:r w:rsidRPr="00E83D14">
        <w:rPr>
          <w:noProof/>
        </w:rPr>
        <w:t>layer</w:t>
      </w:r>
      <w:r>
        <w:t xml:space="preserve">. </w:t>
      </w:r>
      <w:r w:rsidRPr="00892F9B">
        <w:rPr>
          <w:noProof/>
        </w:rPr>
        <w:t>Research</w:t>
      </w:r>
      <w:r w:rsidR="00385DF2">
        <w:rPr>
          <w:noProof/>
        </w:rPr>
        <w:t>es made</w:t>
      </w:r>
      <w:r w:rsidRPr="00CA2F42">
        <w:t xml:space="preserve"> by Petrobras</w:t>
      </w:r>
      <w:r>
        <w:t xml:space="preserve"> (the Brazilian oil company)</w:t>
      </w:r>
      <w:r w:rsidRPr="00CA2F42">
        <w:t xml:space="preserve"> estimate that the new field contains </w:t>
      </w:r>
      <w:r>
        <w:t>from</w:t>
      </w:r>
      <w:r w:rsidRPr="00CA2F42">
        <w:t xml:space="preserve"> 50 billion to 123 billion barrels of oil (</w:t>
      </w:r>
      <w:r>
        <w:t>MME, 2015</w:t>
      </w:r>
      <w:r w:rsidRPr="00CA2F42">
        <w:t>).</w:t>
      </w:r>
      <w:r>
        <w:t xml:space="preserve"> Therefore, in the global </w:t>
      </w:r>
      <w:r w:rsidRPr="00241B02">
        <w:rPr>
          <w:noProof/>
        </w:rPr>
        <w:t>scenario</w:t>
      </w:r>
      <w:r w:rsidR="00241B02">
        <w:rPr>
          <w:noProof/>
        </w:rPr>
        <w:t>,</w:t>
      </w:r>
      <w:r>
        <w:t xml:space="preserve"> Brazil could jump </w:t>
      </w:r>
      <w:r w:rsidRPr="00CA2F42">
        <w:t>from the 15</w:t>
      </w:r>
      <w:r w:rsidRPr="003C08E6">
        <w:rPr>
          <w:vertAlign w:val="superscript"/>
        </w:rPr>
        <w:t>th</w:t>
      </w:r>
      <w:r w:rsidRPr="00CA2F42">
        <w:t xml:space="preserve"> </w:t>
      </w:r>
      <w:r w:rsidR="00385DF2">
        <w:t xml:space="preserve">position </w:t>
      </w:r>
      <w:r w:rsidRPr="00CA2F42">
        <w:t>in the world proved reserves, to 9</w:t>
      </w:r>
      <w:r w:rsidRPr="003C08E6">
        <w:rPr>
          <w:vertAlign w:val="superscript"/>
        </w:rPr>
        <w:t>th</w:t>
      </w:r>
      <w:r w:rsidRPr="00CA2F42">
        <w:t xml:space="preserve"> or 6</w:t>
      </w:r>
      <w:r w:rsidRPr="003C08E6">
        <w:rPr>
          <w:vertAlign w:val="superscript"/>
        </w:rPr>
        <w:t>th</w:t>
      </w:r>
      <w:r w:rsidRPr="00CA2F42">
        <w:t xml:space="preserve"> in the ranking.</w:t>
      </w:r>
      <w:r>
        <w:t xml:space="preserve"> Further, </w:t>
      </w:r>
      <w:r>
        <w:lastRenderedPageBreak/>
        <w:t xml:space="preserve">the country </w:t>
      </w:r>
      <w:r w:rsidR="00385DF2">
        <w:t>could</w:t>
      </w:r>
      <w:r>
        <w:t xml:space="preserve"> increase, by 2020, the daily oil production from </w:t>
      </w:r>
      <w:r w:rsidRPr="00CA2F42">
        <w:t>2.9 million barrel of oil/day</w:t>
      </w:r>
      <w:r>
        <w:t xml:space="preserve"> to </w:t>
      </w:r>
      <w:r w:rsidRPr="00CA2F42">
        <w:t>5 million barrel</w:t>
      </w:r>
      <w:r>
        <w:t xml:space="preserve"> of oil/day (MME, 2015), positioning Brazil</w:t>
      </w:r>
      <w:r w:rsidRPr="00892F9B">
        <w:rPr>
          <w:noProof/>
        </w:rPr>
        <w:t xml:space="preserve"> among</w:t>
      </w:r>
      <w:r w:rsidRPr="00CA2F42">
        <w:t xml:space="preserve"> the top five </w:t>
      </w:r>
      <w:r>
        <w:t>largest</w:t>
      </w:r>
      <w:r w:rsidRPr="00CA2F42">
        <w:t xml:space="preserve"> oil producers in the world.</w:t>
      </w:r>
      <w:r>
        <w:t xml:space="preserve"> </w:t>
      </w:r>
    </w:p>
    <w:p w14:paraId="656FF26C" w14:textId="3B1DEDBF" w:rsidR="00385DF2" w:rsidRDefault="00385DF2" w:rsidP="00385DF2">
      <w:pPr>
        <w:pStyle w:val="texto"/>
      </w:pPr>
      <w:r>
        <w:t xml:space="preserve">Although Pre-salt </w:t>
      </w:r>
      <w:r w:rsidRPr="00892F9B">
        <w:rPr>
          <w:noProof/>
        </w:rPr>
        <w:t>is seen</w:t>
      </w:r>
      <w:r>
        <w:t xml:space="preserve"> as a ‘pot of </w:t>
      </w:r>
      <w:r w:rsidRPr="00892F9B">
        <w:rPr>
          <w:noProof/>
        </w:rPr>
        <w:t>gold</w:t>
      </w:r>
      <w:r>
        <w:rPr>
          <w:noProof/>
        </w:rPr>
        <w:t>,'</w:t>
      </w:r>
      <w:r>
        <w:t xml:space="preserve"> exploring</w:t>
      </w:r>
      <w:r w:rsidRPr="000B1D36">
        <w:t xml:space="preserve"> the new field </w:t>
      </w:r>
      <w:r>
        <w:t>means</w:t>
      </w:r>
      <w:r w:rsidRPr="000B1D36">
        <w:t xml:space="preserve"> to overcome several challenges</w:t>
      </w:r>
      <w:r>
        <w:t xml:space="preserve"> regarding </w:t>
      </w:r>
      <w:r w:rsidRPr="000B1D36">
        <w:t>extraction in ultra-deep water</w:t>
      </w:r>
      <w:r>
        <w:t xml:space="preserve">. The </w:t>
      </w:r>
      <w:r w:rsidRPr="000B1D36">
        <w:t>depth can exceed 7</w:t>
      </w:r>
      <w:r>
        <w:t>,</w:t>
      </w:r>
      <w:r w:rsidRPr="000B1D36">
        <w:t>000 meters</w:t>
      </w:r>
      <w:r>
        <w:t xml:space="preserve"> </w:t>
      </w:r>
      <w:r w:rsidRPr="000B1D36">
        <w:t>(PETROBRAS, n.d.)</w:t>
      </w:r>
      <w:r>
        <w:t xml:space="preserve">, which represents an enormous amount of financial resources and several </w:t>
      </w:r>
      <w:r w:rsidRPr="00452C70">
        <w:t>environmental risks.</w:t>
      </w:r>
      <w:r w:rsidR="00452C70" w:rsidRPr="00452C70">
        <w:t xml:space="preserve"> From 2009 to 2013 Brazil developed a Long Duration Test in one of the platform exploration – Tupi, with an investment of $28 billion. Until 2020, Brazilian Government aims to invest more $146.4 (MME, 2015).</w:t>
      </w:r>
    </w:p>
    <w:p w14:paraId="39F4A276" w14:textId="12079B00" w:rsidR="00452C70" w:rsidRDefault="00F56BF8" w:rsidP="00452C70">
      <w:pPr>
        <w:pStyle w:val="texto"/>
      </w:pPr>
      <w:r>
        <w:t>In</w:t>
      </w:r>
      <w:r w:rsidR="00452C70" w:rsidRPr="00CD07BD">
        <w:t xml:space="preserve"> 2001, Brazil experienced a power shortage</w:t>
      </w:r>
      <w:r w:rsidR="00452C70">
        <w:t xml:space="preserve"> because of inadequate investments in power generation, transmission, and </w:t>
      </w:r>
      <w:r w:rsidR="00452C70" w:rsidRPr="00CD07BD">
        <w:t>coupled with drought conditions that reduced hydropower output</w:t>
      </w:r>
      <w:r w:rsidR="00452C70">
        <w:t xml:space="preserve"> </w:t>
      </w:r>
      <w:r w:rsidR="00452C70" w:rsidRPr="00CD07BD">
        <w:fldChar w:fldCharType="begin"/>
      </w:r>
      <w:r w:rsidR="00452C70" w:rsidRPr="00CD07BD">
        <w:instrText xml:space="preserve"> ADDIN EN.CITE &lt;EndNote&gt;&lt;Cite&gt;&lt;Author&gt;Geller&lt;/Author&gt;&lt;Year&gt;2004&lt;/Year&gt;&lt;RecNum&gt;20&lt;/RecNum&gt;&lt;DisplayText&gt;(Geller et al., 2004)&lt;/DisplayText&gt;&lt;record&gt;&lt;rec-number&gt;20&lt;/rec-number&gt;&lt;foreign-keys&gt;&lt;key app="EN" db-id="0pv0svx92d9at8efs26vverg2txfvd9pef99" timestamp="1475450580"&gt;20&lt;/key&gt;&lt;/foreign-keys&gt;&lt;ref-type name="Journal Article"&gt;17&lt;/ref-type&gt;&lt;contributors&gt;&lt;authors&gt;&lt;author&gt;Geller, Howard&lt;/author&gt;&lt;author&gt;Schaeffer, Roberto&lt;/author&gt;&lt;author&gt;Szklo, Alexandre&lt;/author&gt;&lt;author&gt;Tolmasquim, Mauricio&lt;/author&gt;&lt;/authors&gt;&lt;/contributors&gt;&lt;titles&gt;&lt;title&gt;Policies for advancing energy efficiency and renewable energy use in Brazil&lt;/title&gt;&lt;secondary-title&gt;Energy Policy&lt;/secondary-title&gt;&lt;/titles&gt;&lt;periodical&gt;&lt;full-title&gt;Energy Policy&lt;/full-title&gt;&lt;/periodical&gt;&lt;pages&gt;1437-1450&lt;/pages&gt;&lt;volume&gt;32&lt;/volume&gt;&lt;number&gt;12&lt;/number&gt;&lt;keywords&gt;&lt;keyword&gt;Brazil&lt;/keyword&gt;&lt;keyword&gt;Energy efficiency&lt;/keyword&gt;&lt;keyword&gt;Renewable energy&lt;/keyword&gt;&lt;keyword&gt;CO2 emissions&lt;/keyword&gt;&lt;/keywords&gt;&lt;dates&gt;&lt;year&gt;2004&lt;/year&gt;&lt;pub-dates&gt;&lt;date&gt;8//&lt;/date&gt;&lt;/pub-dates&gt;&lt;/dates&gt;&lt;isbn&gt;0301-4215&lt;/isbn&gt;&lt;urls&gt;&lt;related-urls&gt;&lt;url&gt;http://www.sciencedirect.com/science/article/pii/S0301421503001228&lt;/url&gt;&lt;/related-urls&gt;&lt;/urls&gt;&lt;electronic-resource-num&gt;http://dx.doi.org/10.1016/S0301-4215(03)00122-8&lt;/electronic-resource-num&gt;&lt;/record&gt;&lt;/Cite&gt;&lt;/EndNote&gt;</w:instrText>
      </w:r>
      <w:r w:rsidR="00452C70" w:rsidRPr="00CD07BD">
        <w:fldChar w:fldCharType="separate"/>
      </w:r>
      <w:r w:rsidR="00452C70" w:rsidRPr="00CD07BD">
        <w:t>(Geller et al., 2004)</w:t>
      </w:r>
      <w:r w:rsidR="00452C70" w:rsidRPr="00CD07BD">
        <w:fldChar w:fldCharType="end"/>
      </w:r>
      <w:r w:rsidR="00452C70" w:rsidRPr="00CD07BD">
        <w:t>.</w:t>
      </w:r>
      <w:r>
        <w:t xml:space="preserve"> To overcome the problem, Brazil planned to build more hydroletric in the country.</w:t>
      </w:r>
      <w:r w:rsidR="00F92D80">
        <w:t xml:space="preserve"> However, the remaining </w:t>
      </w:r>
      <w:r w:rsidR="00F92D80" w:rsidRPr="00CD07BD">
        <w:t>hydropower potential (estimated at 170 GW) are located in the north region</w:t>
      </w:r>
      <w:r w:rsidR="00F92D80">
        <w:t>,</w:t>
      </w:r>
      <w:r w:rsidR="00F92D80" w:rsidRPr="00CD07BD">
        <w:t xml:space="preserve"> in Amazon </w:t>
      </w:r>
      <w:r w:rsidR="00F92D80" w:rsidRPr="00CD07BD">
        <w:fldChar w:fldCharType="begin"/>
      </w:r>
      <w:r w:rsidR="00F92D80" w:rsidRPr="00CD07BD">
        <w:instrText xml:space="preserve"> ADDIN EN.CITE &lt;EndNote&gt;&lt;Cite&gt;&lt;Author&gt;Lucena&lt;/Author&gt;&lt;Year&gt;2009&lt;/Year&gt;&lt;RecNum&gt;24&lt;/RecNum&gt;&lt;DisplayText&gt;(Lucena et al., 2009)&lt;/DisplayText&gt;&lt;record&gt;&lt;rec-number&gt;24&lt;/rec-number&gt;&lt;foreign-keys&gt;&lt;key app="EN" db-id="0pv0svx92d9at8efs26vverg2txfvd9pef99" timestamp="1475453704"&gt;24&lt;/key&gt;&lt;/foreign-keys&gt;&lt;ref-type name="Journal Article"&gt;17&lt;/ref-type&gt;&lt;contributors&gt;&lt;authors&gt;&lt;author&gt;Lucena, André Frossard Pereira&lt;/author&gt;&lt;author&gt;Szklo, Alexandre Salem&lt;/author&gt;&lt;author&gt;Schaeffer, Roberto&lt;/author&gt;&lt;author&gt;Souza, Raquel Rodrigues&lt;/author&gt;&lt;author&gt;Borba, Bruno Soares Moreira Cesar&lt;/author&gt;&lt;author&gt;Costa, Isabella Vaz Leal&lt;/author&gt;&lt;author&gt;Júnior, Amaro Olimpio Pereira&lt;/author&gt;&lt;author&gt;Cunha, Sergio Henrique Ferreira&lt;/author&gt;&lt;/authors&gt;&lt;/contributors&gt;&lt;titles&gt;&lt;title&gt;The vulnerability of renewable energy to climate change in Brazil&lt;/title&gt;&lt;secondary-title&gt;Energy Policy&lt;/secondary-title&gt;&lt;/titles&gt;&lt;periodical&gt;&lt;full-title&gt;Energy Policy&lt;/full-title&gt;&lt;/periodical&gt;&lt;pages&gt;879-889&lt;/pages&gt;&lt;volume&gt;37&lt;/volume&gt;&lt;number&gt;3&lt;/number&gt;&lt;keywords&gt;&lt;keyword&gt;Global climate change&lt;/keyword&gt;&lt;keyword&gt;Renewable energy&lt;/keyword&gt;&lt;keyword&gt;Vulnerability&lt;/keyword&gt;&lt;/keywords&gt;&lt;dates&gt;&lt;year&gt;2009&lt;/year&gt;&lt;pub-dates&gt;&lt;date&gt;3//&lt;/date&gt;&lt;/pub-dates&gt;&lt;/dates&gt;&lt;isbn&gt;0301-4215&lt;/isbn&gt;&lt;urls&gt;&lt;related-urls&gt;&lt;url&gt;http://www.sciencedirect.com/science/article/pii/S0301421508006058&lt;/url&gt;&lt;/related-urls&gt;&lt;/urls&gt;&lt;electronic-resource-num&gt;http://dx.doi.org/10.1016/j.enpol.2008.10.029&lt;/electronic-resource-num&gt;&lt;/record&gt;&lt;/Cite&gt;&lt;/EndNote&gt;</w:instrText>
      </w:r>
      <w:r w:rsidR="00F92D80" w:rsidRPr="00CD07BD">
        <w:fldChar w:fldCharType="separate"/>
      </w:r>
      <w:r w:rsidR="00F92D80" w:rsidRPr="00CD07BD">
        <w:t>(Lucena et al., 2009)</w:t>
      </w:r>
      <w:r w:rsidR="00F92D80" w:rsidRPr="00CD07BD">
        <w:fldChar w:fldCharType="end"/>
      </w:r>
      <w:r w:rsidR="00F92D80">
        <w:t xml:space="preserve">, which is far from the main consuming center in the </w:t>
      </w:r>
      <w:r w:rsidR="00967F76" w:rsidRPr="00CD07BD">
        <w:t>southeast region</w:t>
      </w:r>
      <w:r w:rsidR="00967F76">
        <w:t xml:space="preserve"> (about 2,000 miles distance).</w:t>
      </w:r>
    </w:p>
    <w:p w14:paraId="7E3B5C54" w14:textId="2A3A6B24" w:rsidR="00452C70" w:rsidRDefault="00967F76" w:rsidP="00401E7F">
      <w:pPr>
        <w:pStyle w:val="texto"/>
      </w:pPr>
      <w:r>
        <w:t xml:space="preserve">Despite the high transmission costs of the hydroelectrics and the environmental constrains derivatives of the location, Brazil proposed to build 23 new hydroelectric in Amazon, which </w:t>
      </w:r>
      <w:r w:rsidRPr="00E83D14">
        <w:rPr>
          <w:noProof/>
        </w:rPr>
        <w:t>7</w:t>
      </w:r>
      <w:r>
        <w:t xml:space="preserve"> are forecasted in </w:t>
      </w:r>
      <w:r w:rsidRPr="00E83D14">
        <w:rPr>
          <w:noProof/>
        </w:rPr>
        <w:t>untouched</w:t>
      </w:r>
      <w:r>
        <w:t xml:space="preserve"> areas.</w:t>
      </w:r>
      <w:r w:rsidR="00DB3056">
        <w:t xml:space="preserve"> Although hydropower is a clean energy, those projects will generate deforestation, flood, negative influence </w:t>
      </w:r>
      <w:r w:rsidR="00DB3056">
        <w:rPr>
          <w:noProof/>
        </w:rPr>
        <w:t>o</w:t>
      </w:r>
      <w:r w:rsidR="00DB3056" w:rsidRPr="00892F9B">
        <w:rPr>
          <w:noProof/>
        </w:rPr>
        <w:t>n</w:t>
      </w:r>
      <w:r w:rsidR="00DB3056">
        <w:t xml:space="preserve"> biodiversity, the </w:t>
      </w:r>
      <w:r w:rsidR="00DB3056" w:rsidRPr="00892F9B">
        <w:rPr>
          <w:noProof/>
        </w:rPr>
        <w:t>devastation</w:t>
      </w:r>
      <w:r w:rsidR="00DB3056">
        <w:t xml:space="preserve"> of several indigenous </w:t>
      </w:r>
      <w:r w:rsidR="00DB3056" w:rsidRPr="00892F9B">
        <w:rPr>
          <w:noProof/>
        </w:rPr>
        <w:t>territor</w:t>
      </w:r>
      <w:r w:rsidR="00DB3056">
        <w:t xml:space="preserve">ies, and loss of subsistence of many river </w:t>
      </w:r>
      <w:r w:rsidR="00DB3056" w:rsidRPr="00892F9B">
        <w:rPr>
          <w:noProof/>
        </w:rPr>
        <w:t>population</w:t>
      </w:r>
      <w:r w:rsidR="00DB3056">
        <w:rPr>
          <w:noProof/>
        </w:rPr>
        <w:t>s</w:t>
      </w:r>
      <w:r w:rsidR="00DB3056">
        <w:t>.</w:t>
      </w:r>
    </w:p>
    <w:p w14:paraId="256F49D2" w14:textId="3BB2B8AD" w:rsidR="00477CEB" w:rsidRDefault="00837403" w:rsidP="00477CEB">
      <w:pPr>
        <w:pStyle w:val="texto"/>
      </w:pPr>
      <w:r>
        <w:t xml:space="preserve">Since 1998, when Brazil signed the Kyoto Protocol, the country is </w:t>
      </w:r>
      <w:r w:rsidRPr="00837403">
        <w:rPr>
          <w:noProof/>
        </w:rPr>
        <w:t>committed</w:t>
      </w:r>
      <w:r w:rsidR="00C80512">
        <w:rPr>
          <w:noProof/>
        </w:rPr>
        <w:t xml:space="preserve"> to </w:t>
      </w:r>
      <w:r w:rsidR="00C80512" w:rsidRPr="0035487C">
        <w:rPr>
          <w:noProof/>
        </w:rPr>
        <w:t>tak</w:t>
      </w:r>
      <w:r w:rsidR="0035487C">
        <w:rPr>
          <w:noProof/>
        </w:rPr>
        <w:t>ing</w:t>
      </w:r>
      <w:r w:rsidR="00C80512">
        <w:rPr>
          <w:noProof/>
        </w:rPr>
        <w:t xml:space="preserve"> actions to decrease carbon emission and avoid global warming.</w:t>
      </w:r>
      <w:r w:rsidR="0035487C">
        <w:rPr>
          <w:noProof/>
        </w:rPr>
        <w:t xml:space="preserve"> </w:t>
      </w:r>
      <w:r w:rsidR="004623A5">
        <w:rPr>
          <w:noProof/>
        </w:rPr>
        <w:t xml:space="preserve">Assessing the plan that establishes the next ten years </w:t>
      </w:r>
      <w:r w:rsidR="004623A5">
        <w:t>strategies for energy development in the country, the</w:t>
      </w:r>
      <w:r w:rsidR="004623A5" w:rsidRPr="00DB5C08">
        <w:t xml:space="preserve"> </w:t>
      </w:r>
      <w:r w:rsidR="004623A5" w:rsidRPr="00C137D5">
        <w:t xml:space="preserve">Ten-Years Energy Plan </w:t>
      </w:r>
      <w:r w:rsidR="004623A5" w:rsidRPr="00C137D5">
        <w:rPr>
          <w:i/>
        </w:rPr>
        <w:t>(Plano Decenal de Energia PDE)</w:t>
      </w:r>
      <w:r w:rsidR="004623A5">
        <w:rPr>
          <w:i/>
        </w:rPr>
        <w:t>,</w:t>
      </w:r>
      <w:r w:rsidR="004623A5">
        <w:t xml:space="preserve"> </w:t>
      </w:r>
      <w:r w:rsidR="00477CEB" w:rsidRPr="00C137D5">
        <w:t xml:space="preserve">Brazilian government </w:t>
      </w:r>
      <w:r w:rsidR="00477CEB">
        <w:t xml:space="preserve">indicates that will invest </w:t>
      </w:r>
      <w:r w:rsidR="00477CEB" w:rsidRPr="00C137D5">
        <w:t>$311 billion</w:t>
      </w:r>
      <w:r w:rsidR="00477CEB">
        <w:t>,</w:t>
      </w:r>
      <w:r w:rsidR="00477CEB" w:rsidRPr="00C137D5">
        <w:t xml:space="preserve"> until 2024 in</w:t>
      </w:r>
      <w:r w:rsidR="00477CEB">
        <w:t xml:space="preserve"> the</w:t>
      </w:r>
      <w:r w:rsidR="00477CEB" w:rsidRPr="00C137D5">
        <w:t xml:space="preserve"> </w:t>
      </w:r>
      <w:r w:rsidR="00477CEB" w:rsidRPr="00892F9B">
        <w:rPr>
          <w:noProof/>
        </w:rPr>
        <w:t>energy</w:t>
      </w:r>
      <w:r w:rsidR="00477CEB" w:rsidRPr="00C137D5">
        <w:t xml:space="preserve"> sector</w:t>
      </w:r>
      <w:r w:rsidR="00477CEB">
        <w:t xml:space="preserve">. About </w:t>
      </w:r>
      <w:r w:rsidR="00477CEB" w:rsidRPr="00C137D5">
        <w:t xml:space="preserve">$225 billion (72.3%) </w:t>
      </w:r>
      <w:r w:rsidR="00477CEB" w:rsidRPr="00E83D14">
        <w:rPr>
          <w:noProof/>
        </w:rPr>
        <w:t>are destinated</w:t>
      </w:r>
      <w:r w:rsidR="00477CEB" w:rsidRPr="00C137D5">
        <w:t xml:space="preserve"> to oil </w:t>
      </w:r>
      <w:r w:rsidR="00477CEB" w:rsidRPr="00C137D5">
        <w:lastRenderedPageBreak/>
        <w:t xml:space="preserve">and gas, $12.4 billion (3.9%) to </w:t>
      </w:r>
      <w:r w:rsidR="00477CEB" w:rsidRPr="00E83D14">
        <w:rPr>
          <w:noProof/>
        </w:rPr>
        <w:t>wind</w:t>
      </w:r>
      <w:r w:rsidR="00477CEB" w:rsidRPr="00C137D5">
        <w:t xml:space="preserve"> and solar power, and about 7% to biofuel.</w:t>
      </w:r>
      <w:r w:rsidR="00477CEB">
        <w:t xml:space="preserve"> Therefore, although Brazilian government declares itself engaged in climate commitments, its policies shows that the country is investing more than 72% in fossil fuel and less than 4% to diversify its renewable energy sources. Further, the new hydropowers in Amazon will not only contribute to </w:t>
      </w:r>
      <w:r w:rsidR="00477CEB" w:rsidRPr="00477CEB">
        <w:rPr>
          <w:noProof/>
        </w:rPr>
        <w:t>increas</w:t>
      </w:r>
      <w:r w:rsidR="00477CEB">
        <w:rPr>
          <w:noProof/>
        </w:rPr>
        <w:t>ing</w:t>
      </w:r>
      <w:r w:rsidR="00477CEB">
        <w:t xml:space="preserve"> deforestation and carbon </w:t>
      </w:r>
      <w:r w:rsidR="00477CEB" w:rsidRPr="00477CEB">
        <w:rPr>
          <w:noProof/>
        </w:rPr>
        <w:t>emission</w:t>
      </w:r>
      <w:r w:rsidR="00477CEB">
        <w:t xml:space="preserve"> but </w:t>
      </w:r>
      <w:r w:rsidR="00477CEB" w:rsidRPr="00477CEB">
        <w:rPr>
          <w:noProof/>
        </w:rPr>
        <w:t>also</w:t>
      </w:r>
      <w:r w:rsidR="00477CEB">
        <w:t xml:space="preserve"> promote environmental injustice.</w:t>
      </w:r>
    </w:p>
    <w:p w14:paraId="27484F5D" w14:textId="7CB25506" w:rsidR="00401E7F" w:rsidRDefault="005E5E8B" w:rsidP="00401E7F">
      <w:pPr>
        <w:pStyle w:val="texto"/>
        <w:rPr>
          <w:shd w:val="clear" w:color="auto" w:fill="FFFFFF"/>
        </w:rPr>
      </w:pPr>
      <w:r>
        <w:t>The academic literature does not assess Brazilian’s</w:t>
      </w:r>
      <w:r w:rsidRPr="00AC10A5">
        <w:t xml:space="preserve"> energy policies</w:t>
      </w:r>
      <w:r>
        <w:t xml:space="preserve"> </w:t>
      </w:r>
      <w:r w:rsidRPr="00AC10A5">
        <w:t>and its commitments with climate change</w:t>
      </w:r>
      <w:r>
        <w:t>. T</w:t>
      </w:r>
      <w:r w:rsidR="00755FFC">
        <w:t xml:space="preserve">he present </w:t>
      </w:r>
      <w:r>
        <w:t>article</w:t>
      </w:r>
      <w:r w:rsidR="00755FFC">
        <w:t xml:space="preserve"> aims to investigate those topics to answer the following research questions: </w:t>
      </w:r>
      <w:r w:rsidR="00755FFC" w:rsidRPr="00AC10A5">
        <w:rPr>
          <w:shd w:val="clear" w:color="auto" w:fill="FFFFFF"/>
        </w:rPr>
        <w:t xml:space="preserve">Where are </w:t>
      </w:r>
      <w:r w:rsidR="00755FFC" w:rsidRPr="00A92585">
        <w:rPr>
          <w:noProof/>
          <w:shd w:val="clear" w:color="auto" w:fill="FFFFFF"/>
        </w:rPr>
        <w:t>fiscal</w:t>
      </w:r>
      <w:r w:rsidR="00755FFC" w:rsidRPr="00AC10A5">
        <w:rPr>
          <w:shd w:val="clear" w:color="auto" w:fill="FFFFFF"/>
        </w:rPr>
        <w:t xml:space="preserve"> benefits from Brazil’s offshore energy development </w:t>
      </w:r>
      <w:r w:rsidR="00755FFC" w:rsidRPr="00A92585">
        <w:rPr>
          <w:noProof/>
          <w:shd w:val="clear" w:color="auto" w:fill="FFFFFF"/>
        </w:rPr>
        <w:t>being directed</w:t>
      </w:r>
      <w:r w:rsidR="00755FFC" w:rsidRPr="00AC10A5">
        <w:rPr>
          <w:shd w:val="clear" w:color="auto" w:fill="FFFFFF"/>
        </w:rPr>
        <w:t>? Given that Brazil has a natural potential to develop a highly diversified energetic matrix, why are national energy policies primarily focused on developing new offshore fossil-fuel resources and hydropower projects in the Amazonian interior?</w:t>
      </w:r>
    </w:p>
    <w:p w14:paraId="1C19621A" w14:textId="132534AA" w:rsidR="00401E7F" w:rsidRDefault="002729BC" w:rsidP="002729BC">
      <w:pPr>
        <w:pStyle w:val="Heading1"/>
        <w:rPr>
          <w:rStyle w:val="citedauthor"/>
        </w:rPr>
      </w:pPr>
      <w:r>
        <w:rPr>
          <w:rStyle w:val="citedauthor"/>
        </w:rPr>
        <w:t>Hypothesis</w:t>
      </w:r>
    </w:p>
    <w:p w14:paraId="140DD38D" w14:textId="4440C9BE" w:rsidR="001966E8" w:rsidRDefault="001966E8" w:rsidP="001966E8">
      <w:pPr>
        <w:pStyle w:val="texto"/>
        <w:rPr>
          <w:rStyle w:val="citedauthor"/>
        </w:rPr>
      </w:pPr>
      <w:r>
        <w:rPr>
          <w:rStyle w:val="citedauthor"/>
        </w:rPr>
        <w:t xml:space="preserve">Brazil is comprised </w:t>
      </w:r>
      <w:r w:rsidR="00241B02">
        <w:rPr>
          <w:rStyle w:val="citedauthor"/>
          <w:noProof/>
        </w:rPr>
        <w:t>of</w:t>
      </w:r>
      <w:r>
        <w:rPr>
          <w:rStyle w:val="citedauthor"/>
        </w:rPr>
        <w:t xml:space="preserve"> 5 Regions, which involves 26 states and one Federal District. Each region has its particularities and needs. However, the energy policies are developed and implemented </w:t>
      </w:r>
      <w:r w:rsidR="00241B02">
        <w:rPr>
          <w:rStyle w:val="citedauthor"/>
          <w:noProof/>
        </w:rPr>
        <w:t>at</w:t>
      </w:r>
      <w:r>
        <w:rPr>
          <w:rStyle w:val="citedauthor"/>
        </w:rPr>
        <w:t xml:space="preserve"> the national level. The States, regarding energy policies, only follows the directions given by the Federal Government when required. Therefore, the present research has as population focus the country of Brazil at the national level.</w:t>
      </w:r>
    </w:p>
    <w:p w14:paraId="121A64D4" w14:textId="28DD0075" w:rsidR="005A65CE" w:rsidRDefault="00086F34" w:rsidP="00401E7F">
      <w:pPr>
        <w:pStyle w:val="texto"/>
        <w:rPr>
          <w:shd w:val="clear" w:color="auto" w:fill="FFFFFF"/>
        </w:rPr>
      </w:pPr>
      <w:r>
        <w:rPr>
          <w:shd w:val="clear" w:color="auto" w:fill="FFFFFF"/>
        </w:rPr>
        <w:t xml:space="preserve">The research presents a preliminary investigation of Brazilian energy policies, based on two-pronged theoretical approach, to demonstrate how the concepts of the “energy curse” and “environmental justice” negate Brazil’s capacity to realize its climate change commitment(s). </w:t>
      </w:r>
    </w:p>
    <w:p w14:paraId="57638A9F" w14:textId="3A64526A" w:rsidR="002729BC" w:rsidRDefault="00086F34" w:rsidP="00401E7F">
      <w:pPr>
        <w:pStyle w:val="texto"/>
        <w:rPr>
          <w:rStyle w:val="citedauthor"/>
        </w:rPr>
      </w:pPr>
      <w:r>
        <w:rPr>
          <w:shd w:val="clear" w:color="auto" w:fill="FFFFFF"/>
        </w:rPr>
        <w:t>Preliminary analysis suggests that Brazil has economic potential to foster</w:t>
      </w:r>
      <w:r w:rsidR="00241B02">
        <w:rPr>
          <w:shd w:val="clear" w:color="auto" w:fill="FFFFFF"/>
        </w:rPr>
        <w:t xml:space="preserve"> the</w:t>
      </w:r>
      <w:r>
        <w:rPr>
          <w:shd w:val="clear" w:color="auto" w:fill="FFFFFF"/>
        </w:rPr>
        <w:t xml:space="preserve"> </w:t>
      </w:r>
      <w:r w:rsidRPr="00241B02">
        <w:rPr>
          <w:noProof/>
          <w:shd w:val="clear" w:color="auto" w:fill="FFFFFF"/>
        </w:rPr>
        <w:t>large-scale</w:t>
      </w:r>
      <w:r>
        <w:rPr>
          <w:shd w:val="clear" w:color="auto" w:fill="FFFFFF"/>
        </w:rPr>
        <w:t xml:space="preserve"> </w:t>
      </w:r>
      <w:r w:rsidR="0061238D">
        <w:rPr>
          <w:shd w:val="clear" w:color="auto" w:fill="FFFFFF"/>
        </w:rPr>
        <w:t>diversification</w:t>
      </w:r>
      <w:r>
        <w:rPr>
          <w:shd w:val="clear" w:color="auto" w:fill="FFFFFF"/>
        </w:rPr>
        <w:t xml:space="preserve"> of renewable energy resources</w:t>
      </w:r>
      <w:r w:rsidR="005A65CE">
        <w:rPr>
          <w:shd w:val="clear" w:color="auto" w:fill="FFFFFF"/>
        </w:rPr>
        <w:t>. However, the</w:t>
      </w:r>
      <w:r w:rsidR="005E5E8B">
        <w:rPr>
          <w:shd w:val="clear" w:color="auto" w:fill="FFFFFF"/>
        </w:rPr>
        <w:t xml:space="preserve"> policy</w:t>
      </w:r>
      <w:r w:rsidR="005A65CE">
        <w:rPr>
          <w:shd w:val="clear" w:color="auto" w:fill="FFFFFF"/>
        </w:rPr>
        <w:t xml:space="preserve"> focus is offshore </w:t>
      </w:r>
      <w:r w:rsidR="005A65CE">
        <w:rPr>
          <w:shd w:val="clear" w:color="auto" w:fill="FFFFFF"/>
        </w:rPr>
        <w:lastRenderedPageBreak/>
        <w:t>drilling, and</w:t>
      </w:r>
      <w:r>
        <w:rPr>
          <w:shd w:val="clear" w:color="auto" w:fill="FFFFFF"/>
        </w:rPr>
        <w:t xml:space="preserve"> </w:t>
      </w:r>
      <w:r w:rsidR="00CD729E">
        <w:rPr>
          <w:shd w:val="clear" w:color="auto" w:fill="FFFFFF"/>
        </w:rPr>
        <w:t xml:space="preserve">the </w:t>
      </w:r>
      <w:r>
        <w:rPr>
          <w:shd w:val="clear" w:color="auto" w:fill="FFFFFF"/>
        </w:rPr>
        <w:t xml:space="preserve">fiscal resources derived from </w:t>
      </w:r>
      <w:r w:rsidR="005A65CE">
        <w:rPr>
          <w:shd w:val="clear" w:color="auto" w:fill="FFFFFF"/>
        </w:rPr>
        <w:t>its</w:t>
      </w:r>
      <w:r>
        <w:rPr>
          <w:shd w:val="clear" w:color="auto" w:fill="FFFFFF"/>
        </w:rPr>
        <w:t xml:space="preserve"> development are not being utilized to achieve </w:t>
      </w:r>
      <w:r w:rsidR="005A65CE">
        <w:rPr>
          <w:shd w:val="clear" w:color="auto" w:fill="FFFFFF"/>
        </w:rPr>
        <w:t>a sustainable</w:t>
      </w:r>
      <w:r>
        <w:rPr>
          <w:shd w:val="clear" w:color="auto" w:fill="FFFFFF"/>
        </w:rPr>
        <w:t xml:space="preserve"> </w:t>
      </w:r>
      <w:r w:rsidR="005A65CE">
        <w:rPr>
          <w:shd w:val="clear" w:color="auto" w:fill="FFFFFF"/>
        </w:rPr>
        <w:t>goal</w:t>
      </w:r>
      <w:r>
        <w:rPr>
          <w:shd w:val="clear" w:color="auto" w:fill="FFFFFF"/>
        </w:rPr>
        <w:t xml:space="preserve">. </w:t>
      </w:r>
      <w:r w:rsidR="005A65CE">
        <w:rPr>
          <w:shd w:val="clear" w:color="auto" w:fill="FFFFFF"/>
        </w:rPr>
        <w:t>P</w:t>
      </w:r>
      <w:r>
        <w:rPr>
          <w:shd w:val="clear" w:color="auto" w:fill="FFFFFF"/>
        </w:rPr>
        <w:t>roposed hydropower projects suggest further deforestation of the Amazon</w:t>
      </w:r>
      <w:r w:rsidR="00CD729E">
        <w:rPr>
          <w:shd w:val="clear" w:color="auto" w:fill="FFFFFF"/>
        </w:rPr>
        <w:t>, and in doing so,</w:t>
      </w:r>
      <w:r>
        <w:rPr>
          <w:shd w:val="clear" w:color="auto" w:fill="FFFFFF"/>
        </w:rPr>
        <w:t xml:space="preserve"> raise serious environmental </w:t>
      </w:r>
      <w:r w:rsidR="00053B6A">
        <w:rPr>
          <w:shd w:val="clear" w:color="auto" w:fill="FFFFFF"/>
        </w:rPr>
        <w:t>in</w:t>
      </w:r>
      <w:r>
        <w:rPr>
          <w:shd w:val="clear" w:color="auto" w:fill="FFFFFF"/>
        </w:rPr>
        <w:t>justice concerns for Brazil’s indigenous peoples. Further, r</w:t>
      </w:r>
      <w:r w:rsidR="002729BC">
        <w:rPr>
          <w:rStyle w:val="citedauthor"/>
        </w:rPr>
        <w:t xml:space="preserve">ecently corruption scandals suggest that Brazil is </w:t>
      </w:r>
      <w:r w:rsidR="00A83D31">
        <w:rPr>
          <w:shd w:val="clear" w:color="auto" w:fill="FFFFFF"/>
        </w:rPr>
        <w:t>engaging in state-sponsored greenwashing of its international climate change commitments.</w:t>
      </w:r>
      <w:r w:rsidR="00BA6A0C">
        <w:rPr>
          <w:shd w:val="clear" w:color="auto" w:fill="FFFFFF"/>
        </w:rPr>
        <w:t xml:space="preserve"> </w:t>
      </w:r>
      <w:r w:rsidR="00A83D31">
        <w:rPr>
          <w:rStyle w:val="citedauthor"/>
        </w:rPr>
        <w:t>Therefore, the present research</w:t>
      </w:r>
      <w:r w:rsidR="00BA6A0C">
        <w:rPr>
          <w:rStyle w:val="citedauthor"/>
        </w:rPr>
        <w:t xml:space="preserve"> seek</w:t>
      </w:r>
      <w:r w:rsidR="00401BAB">
        <w:rPr>
          <w:rStyle w:val="citedauthor"/>
        </w:rPr>
        <w:t>s</w:t>
      </w:r>
      <w:r w:rsidR="00A83D31">
        <w:rPr>
          <w:rStyle w:val="citedauthor"/>
        </w:rPr>
        <w:t xml:space="preserve"> </w:t>
      </w:r>
      <w:r w:rsidR="00401BAB">
        <w:rPr>
          <w:rStyle w:val="citedauthor"/>
        </w:rPr>
        <w:t xml:space="preserve">to </w:t>
      </w:r>
      <w:r w:rsidR="00A83D31">
        <w:rPr>
          <w:rStyle w:val="citedauthor"/>
        </w:rPr>
        <w:t>test three hypotheses:</w:t>
      </w:r>
    </w:p>
    <w:p w14:paraId="1C6F3387" w14:textId="28D02115" w:rsidR="00A83D31" w:rsidRDefault="00A83D31" w:rsidP="00A83D31">
      <w:pPr>
        <w:pStyle w:val="texto"/>
        <w:numPr>
          <w:ilvl w:val="0"/>
          <w:numId w:val="29"/>
        </w:numPr>
        <w:rPr>
          <w:rStyle w:val="citedauthor"/>
        </w:rPr>
      </w:pPr>
      <w:r>
        <w:rPr>
          <w:rStyle w:val="citedauthor"/>
        </w:rPr>
        <w:t>H1. Energy curse is present in oil extraction.</w:t>
      </w:r>
    </w:p>
    <w:p w14:paraId="5391EC0F" w14:textId="0A9C2B0C" w:rsidR="00A83D31" w:rsidRDefault="00A83D31" w:rsidP="00A83D31">
      <w:pPr>
        <w:pStyle w:val="texto"/>
        <w:numPr>
          <w:ilvl w:val="0"/>
          <w:numId w:val="29"/>
        </w:numPr>
        <w:rPr>
          <w:rStyle w:val="citedauthor"/>
        </w:rPr>
      </w:pPr>
      <w:r>
        <w:rPr>
          <w:rStyle w:val="citedauthor"/>
        </w:rPr>
        <w:t xml:space="preserve">H2. New </w:t>
      </w:r>
      <w:r w:rsidR="005E5E8B">
        <w:rPr>
          <w:rStyle w:val="citedauthor"/>
        </w:rPr>
        <w:t>hydroelectric</w:t>
      </w:r>
      <w:r>
        <w:rPr>
          <w:rStyle w:val="citedauthor"/>
        </w:rPr>
        <w:t xml:space="preserve"> in Amazon region impacts environmental justice.</w:t>
      </w:r>
    </w:p>
    <w:p w14:paraId="4B43F0B8" w14:textId="517C9C6A" w:rsidR="00A83D31" w:rsidRDefault="00A83D31" w:rsidP="00A83D31">
      <w:pPr>
        <w:pStyle w:val="texto"/>
        <w:numPr>
          <w:ilvl w:val="0"/>
          <w:numId w:val="29"/>
        </w:numPr>
        <w:rPr>
          <w:rStyle w:val="citedauthor"/>
        </w:rPr>
      </w:pPr>
      <w:r>
        <w:rPr>
          <w:rStyle w:val="citedauthor"/>
        </w:rPr>
        <w:t>H3. Engagement in state-sponsored greenwashing.</w:t>
      </w:r>
    </w:p>
    <w:p w14:paraId="1270C214" w14:textId="2A457F95" w:rsidR="00053B6A" w:rsidRDefault="00A83D31" w:rsidP="00401E7F">
      <w:pPr>
        <w:pStyle w:val="texto"/>
        <w:rPr>
          <w:rStyle w:val="citedauthor"/>
        </w:rPr>
      </w:pPr>
      <w:r>
        <w:rPr>
          <w:rStyle w:val="citedauthor"/>
        </w:rPr>
        <w:t xml:space="preserve">The hypothesis test will use a mix methods approach (quantitative and qualitative methods) to identify whether they are true or false. </w:t>
      </w:r>
      <w:r w:rsidR="00053B6A">
        <w:rPr>
          <w:rStyle w:val="citedauthor"/>
        </w:rPr>
        <w:t>The following sections detail the research design, variables, data collection and analysis concerning each hypothesis.</w:t>
      </w:r>
    </w:p>
    <w:p w14:paraId="77C3E82D" w14:textId="77777777" w:rsidR="002C7D27" w:rsidRDefault="002C7D27" w:rsidP="00401E7F">
      <w:pPr>
        <w:pStyle w:val="texto"/>
        <w:rPr>
          <w:rStyle w:val="citedauthor"/>
        </w:rPr>
      </w:pPr>
    </w:p>
    <w:p w14:paraId="2ADC7133" w14:textId="3538A5B8" w:rsidR="005B5FBC" w:rsidRDefault="001966E8" w:rsidP="00DE35B0">
      <w:pPr>
        <w:pStyle w:val="Heading1"/>
        <w:rPr>
          <w:rStyle w:val="citedauthor"/>
        </w:rPr>
      </w:pPr>
      <w:r>
        <w:rPr>
          <w:rStyle w:val="citedauthor"/>
        </w:rPr>
        <w:t xml:space="preserve">Testing </w:t>
      </w:r>
      <w:r w:rsidR="006E7E1D">
        <w:rPr>
          <w:rStyle w:val="citedauthor"/>
        </w:rPr>
        <w:t>H1. Energy curse is present in oil extraction.</w:t>
      </w:r>
    </w:p>
    <w:p w14:paraId="532AF254" w14:textId="41816804" w:rsidR="00EB2681" w:rsidRDefault="00D149D4" w:rsidP="00EB2681">
      <w:pPr>
        <w:pStyle w:val="texto"/>
        <w:tabs>
          <w:tab w:val="left" w:pos="3872"/>
        </w:tabs>
        <w:rPr>
          <w:rStyle w:val="citedauthor"/>
        </w:rPr>
      </w:pPr>
      <w:r>
        <w:rPr>
          <w:rStyle w:val="citedauthor"/>
        </w:rPr>
        <w:t xml:space="preserve">Collier (2010) argues that the exploration of natural resources is a unique opportunity to boost economic growth. </w:t>
      </w:r>
      <w:r w:rsidR="00EB2681">
        <w:rPr>
          <w:rStyle w:val="citedauthor"/>
        </w:rPr>
        <w:t xml:space="preserve">Ross (2012) states that countries with relevant oil wealth can have better chances </w:t>
      </w:r>
      <w:r w:rsidR="00031C57">
        <w:rPr>
          <w:rStyle w:val="citedauthor"/>
        </w:rPr>
        <w:t xml:space="preserve">of </w:t>
      </w:r>
      <w:r w:rsidR="00DE35B0">
        <w:rPr>
          <w:rStyle w:val="citedauthor"/>
        </w:rPr>
        <w:t>funding</w:t>
      </w:r>
      <w:r w:rsidR="00031C57">
        <w:rPr>
          <w:rStyle w:val="citedauthor"/>
        </w:rPr>
        <w:t xml:space="preserve"> government, </w:t>
      </w:r>
      <w:r w:rsidR="00065B5F">
        <w:rPr>
          <w:rStyle w:val="citedauthor"/>
        </w:rPr>
        <w:t>and</w:t>
      </w:r>
      <w:r w:rsidR="00031C57">
        <w:rPr>
          <w:rStyle w:val="citedauthor"/>
        </w:rPr>
        <w:t xml:space="preserve"> provide an institutional capacity to alleviate poverty and invest in development.</w:t>
      </w:r>
      <w:r w:rsidR="000D01C2">
        <w:rPr>
          <w:rStyle w:val="citedauthor"/>
        </w:rPr>
        <w:t xml:space="preserve"> Therefore, if oil revenues are well used, the country should have faster economic growth and greater improvements in social welfare (Ross, 2012).</w:t>
      </w:r>
    </w:p>
    <w:p w14:paraId="7A48A5CF" w14:textId="31C4AEB9" w:rsidR="00FF67F8" w:rsidRDefault="00D149D4" w:rsidP="00FF67F8">
      <w:pPr>
        <w:pStyle w:val="texto"/>
        <w:tabs>
          <w:tab w:val="left" w:pos="3872"/>
        </w:tabs>
        <w:rPr>
          <w:rStyle w:val="citedauthor"/>
        </w:rPr>
      </w:pPr>
      <w:r>
        <w:rPr>
          <w:rStyle w:val="citedauthor"/>
        </w:rPr>
        <w:t xml:space="preserve">However, oil wealth </w:t>
      </w:r>
      <w:r w:rsidR="002B3D35">
        <w:rPr>
          <w:rStyle w:val="citedauthor"/>
        </w:rPr>
        <w:t>has</w:t>
      </w:r>
      <w:r>
        <w:rPr>
          <w:rStyle w:val="citedauthor"/>
        </w:rPr>
        <w:t xml:space="preserve"> an irony. The greater the country needs for additional income, more likely the wealth from the natural resource will be misused </w:t>
      </w:r>
      <w:r>
        <w:rPr>
          <w:rStyle w:val="citedauthor"/>
        </w:rPr>
        <w:fldChar w:fldCharType="begin"/>
      </w:r>
      <w:r>
        <w:rPr>
          <w:rStyle w:val="citedauthor"/>
        </w:rPr>
        <w:instrText xml:space="preserve"> ADDIN EN.CITE &lt;EndNote&gt;&lt;Cite&gt;&lt;Author&gt;Collier&lt;/Author&gt;&lt;Year&gt;2008&lt;/Year&gt;&lt;RecNum&gt;63&lt;/RecNum&gt;&lt;DisplayText&gt;(Collier, 2008)&lt;/DisplayText&gt;&lt;record&gt;&lt;rec-number&gt;63&lt;/rec-number&gt;&lt;foreign-keys&gt;&lt;key app="EN" db-id="0pv0svx92d9at8efs26vverg2txfvd9pef99" timestamp="1480889890"&gt;63&lt;/key&gt;&lt;/foreign-keys&gt;&lt;ref-type name="Book"&gt;6&lt;/ref-type&gt;&lt;contributors&gt;&lt;authors&gt;&lt;author&gt;Collier, Paul&lt;/author&gt;&lt;/authors&gt;&lt;/contributors&gt;&lt;titles&gt;&lt;title&gt;The bottom billion: Why the poorest countries are failing and what can be done about it&lt;/title&gt;&lt;/titles&gt;&lt;dates&gt;&lt;year&gt;2008&lt;/year&gt;&lt;/dates&gt;&lt;publisher&gt;Oxford University Press, USA&lt;/publisher&gt;&lt;isbn&gt;0195374630&lt;/isbn&gt;&lt;urls&gt;&lt;/urls&gt;&lt;/record&gt;&lt;/Cite&gt;&lt;/EndNote&gt;</w:instrText>
      </w:r>
      <w:r>
        <w:rPr>
          <w:rStyle w:val="citedauthor"/>
        </w:rPr>
        <w:fldChar w:fldCharType="separate"/>
      </w:r>
      <w:r>
        <w:rPr>
          <w:rStyle w:val="citedauthor"/>
          <w:noProof/>
        </w:rPr>
        <w:t>(Collier, 2008)</w:t>
      </w:r>
      <w:r>
        <w:rPr>
          <w:rStyle w:val="citedauthor"/>
        </w:rPr>
        <w:fldChar w:fldCharType="end"/>
      </w:r>
      <w:r>
        <w:rPr>
          <w:rStyle w:val="citedauthor"/>
        </w:rPr>
        <w:t>.</w:t>
      </w:r>
      <w:r w:rsidR="00EB2681">
        <w:rPr>
          <w:rStyle w:val="citedauthor"/>
        </w:rPr>
        <w:t xml:space="preserve"> Ross (2012), define </w:t>
      </w:r>
      <w:r w:rsidR="00741573">
        <w:rPr>
          <w:rStyle w:val="citedauthor"/>
        </w:rPr>
        <w:t>it</w:t>
      </w:r>
      <w:r w:rsidR="00EB2681">
        <w:rPr>
          <w:rStyle w:val="citedauthor"/>
        </w:rPr>
        <w:t xml:space="preserve"> as an ‘oil </w:t>
      </w:r>
      <w:r w:rsidR="00EB2681" w:rsidRPr="00241B02">
        <w:rPr>
          <w:rStyle w:val="citedauthor"/>
          <w:noProof/>
        </w:rPr>
        <w:t>curse</w:t>
      </w:r>
      <w:r w:rsidR="00241B02">
        <w:rPr>
          <w:rStyle w:val="citedauthor"/>
          <w:noProof/>
        </w:rPr>
        <w:t>.'</w:t>
      </w:r>
      <w:r w:rsidR="000D01C2">
        <w:rPr>
          <w:rStyle w:val="citedauthor"/>
        </w:rPr>
        <w:t xml:space="preserve"> </w:t>
      </w:r>
      <w:r w:rsidR="00EB2681">
        <w:rPr>
          <w:rStyle w:val="citedauthor"/>
        </w:rPr>
        <w:t xml:space="preserve">Ross (2012) researched 50 years of data for 170 countries in all regions in the world to evaluate how oil </w:t>
      </w:r>
      <w:r w:rsidR="00DE35B0">
        <w:rPr>
          <w:rStyle w:val="citedauthor"/>
        </w:rPr>
        <w:t>affects</w:t>
      </w:r>
      <w:r w:rsidR="00EB2681">
        <w:rPr>
          <w:rStyle w:val="citedauthor"/>
        </w:rPr>
        <w:t xml:space="preserve"> democracy and peace. He found that because of the volatility of oil prices, </w:t>
      </w:r>
      <w:r w:rsidR="00FA640C">
        <w:rPr>
          <w:rStyle w:val="citedauthor"/>
        </w:rPr>
        <w:t>countries with oil do not have</w:t>
      </w:r>
      <w:r w:rsidR="00EB2681">
        <w:rPr>
          <w:rStyle w:val="citedauthor"/>
        </w:rPr>
        <w:t xml:space="preserve"> economic growth different from </w:t>
      </w:r>
      <w:r w:rsidR="00EB2681">
        <w:rPr>
          <w:rStyle w:val="citedauthor"/>
        </w:rPr>
        <w:lastRenderedPageBreak/>
        <w:t xml:space="preserve">others that </w:t>
      </w:r>
      <w:r w:rsidR="00EB2681" w:rsidRPr="00241B02">
        <w:rPr>
          <w:rStyle w:val="citedauthor"/>
          <w:noProof/>
        </w:rPr>
        <w:t>ha</w:t>
      </w:r>
      <w:r w:rsidR="00241B02">
        <w:rPr>
          <w:rStyle w:val="citedauthor"/>
          <w:noProof/>
        </w:rPr>
        <w:t>ve</w:t>
      </w:r>
      <w:r w:rsidR="00241B02">
        <w:rPr>
          <w:rStyle w:val="citedauthor"/>
        </w:rPr>
        <w:t xml:space="preserve"> no oil (Ross,</w:t>
      </w:r>
      <w:r w:rsidR="00EB2681">
        <w:rPr>
          <w:rStyle w:val="citedauthor"/>
        </w:rPr>
        <w:t xml:space="preserve"> 2012). </w:t>
      </w:r>
      <w:r w:rsidR="00DE35B0">
        <w:rPr>
          <w:rStyle w:val="citedauthor"/>
        </w:rPr>
        <w:t>In addition</w:t>
      </w:r>
      <w:r w:rsidR="003B3B12">
        <w:rPr>
          <w:rStyle w:val="citedauthor"/>
        </w:rPr>
        <w:t xml:space="preserve">, he </w:t>
      </w:r>
      <w:r w:rsidR="00DE35B0">
        <w:rPr>
          <w:rStyle w:val="citedauthor"/>
        </w:rPr>
        <w:t>claims</w:t>
      </w:r>
      <w:r w:rsidR="003B3B12">
        <w:rPr>
          <w:rStyle w:val="citedauthor"/>
        </w:rPr>
        <w:t xml:space="preserve"> that oil can lead</w:t>
      </w:r>
      <w:r w:rsidR="00241B02">
        <w:rPr>
          <w:rStyle w:val="citedauthor"/>
        </w:rPr>
        <w:t xml:space="preserve"> the</w:t>
      </w:r>
      <w:r w:rsidR="00FA640C">
        <w:rPr>
          <w:rStyle w:val="citedauthor"/>
        </w:rPr>
        <w:t xml:space="preserve"> </w:t>
      </w:r>
      <w:r w:rsidR="00FA640C" w:rsidRPr="00241B02">
        <w:rPr>
          <w:rStyle w:val="citedauthor"/>
          <w:noProof/>
        </w:rPr>
        <w:t>government</w:t>
      </w:r>
      <w:r w:rsidR="003B3B12">
        <w:rPr>
          <w:rStyle w:val="citedauthor"/>
        </w:rPr>
        <w:t xml:space="preserve"> to one or more of the following characteristics: make </w:t>
      </w:r>
      <w:r w:rsidR="00F9684D">
        <w:rPr>
          <w:rStyle w:val="citedauthor"/>
        </w:rPr>
        <w:t>them</w:t>
      </w:r>
      <w:r w:rsidR="003B3B12">
        <w:rPr>
          <w:rStyle w:val="citedauthor"/>
        </w:rPr>
        <w:t xml:space="preserve"> weaker, more corrupt, or less effective.</w:t>
      </w:r>
      <w:r w:rsidR="00FF67F8">
        <w:rPr>
          <w:rStyle w:val="citedauthor"/>
        </w:rPr>
        <w:t xml:space="preserve"> </w:t>
      </w:r>
    </w:p>
    <w:p w14:paraId="6F078223" w14:textId="152D3DBD" w:rsidR="00FF67F8" w:rsidRPr="006B2FF0" w:rsidRDefault="00FF67F8" w:rsidP="00FF67F8">
      <w:pPr>
        <w:pStyle w:val="texto"/>
        <w:tabs>
          <w:tab w:val="left" w:pos="3872"/>
        </w:tabs>
        <w:rPr>
          <w:rStyle w:val="citedauthor"/>
        </w:rPr>
      </w:pPr>
      <w:r>
        <w:rPr>
          <w:rStyle w:val="citedauthor"/>
        </w:rPr>
        <w:t xml:space="preserve">Ross </w:t>
      </w:r>
      <w:r w:rsidR="00241B02">
        <w:rPr>
          <w:rStyle w:val="citedauthor"/>
        </w:rPr>
        <w:t xml:space="preserve">(2012) </w:t>
      </w:r>
      <w:r>
        <w:rPr>
          <w:rStyle w:val="citedauthor"/>
        </w:rPr>
        <w:t>contends that many influential studies show that oil wealth can be an economic curse, since the more oil the country extracts</w:t>
      </w:r>
      <w:r w:rsidR="00241B02">
        <w:rPr>
          <w:rStyle w:val="citedauthor"/>
        </w:rPr>
        <w:t>, slower is its economic growth</w:t>
      </w:r>
      <w:r>
        <w:rPr>
          <w:rStyle w:val="citedauthor"/>
        </w:rPr>
        <w:t xml:space="preserve">. </w:t>
      </w:r>
      <w:r w:rsidR="00801DC3">
        <w:rPr>
          <w:rStyle w:val="citedauthor"/>
        </w:rPr>
        <w:t>O</w:t>
      </w:r>
      <w:r w:rsidRPr="006B2FF0">
        <w:rPr>
          <w:rStyle w:val="citedauthor"/>
        </w:rPr>
        <w:t>il revenues, when spent wisely, can contribute to sustainable improvements in social welfare, or be</w:t>
      </w:r>
      <w:r w:rsidR="00241B02">
        <w:rPr>
          <w:rStyle w:val="citedauthor"/>
        </w:rPr>
        <w:t xml:space="preserve"> a</w:t>
      </w:r>
      <w:r w:rsidRPr="006B2FF0">
        <w:rPr>
          <w:rStyle w:val="citedauthor"/>
        </w:rPr>
        <w:t xml:space="preserve"> </w:t>
      </w:r>
      <w:r w:rsidRPr="00241B02">
        <w:rPr>
          <w:rStyle w:val="citedauthor"/>
          <w:noProof/>
        </w:rPr>
        <w:t>waste</w:t>
      </w:r>
      <w:r w:rsidRPr="006B2FF0">
        <w:rPr>
          <w:rStyle w:val="citedauthor"/>
        </w:rPr>
        <w:t xml:space="preserve"> and </w:t>
      </w:r>
      <w:r w:rsidR="00741573">
        <w:rPr>
          <w:rStyle w:val="citedauthor"/>
          <w:noProof/>
        </w:rPr>
        <w:t>support</w:t>
      </w:r>
      <w:r w:rsidRPr="006B2FF0">
        <w:rPr>
          <w:rStyle w:val="citedauthor"/>
        </w:rPr>
        <w:t xml:space="preserve"> corruption (Ross, 2012).</w:t>
      </w:r>
    </w:p>
    <w:p w14:paraId="76BE3518" w14:textId="3E3DC085" w:rsidR="00740FE4" w:rsidRDefault="00FF67F8" w:rsidP="00EB2681">
      <w:pPr>
        <w:pStyle w:val="texto"/>
        <w:tabs>
          <w:tab w:val="left" w:pos="3872"/>
        </w:tabs>
        <w:rPr>
          <w:rStyle w:val="citedauthor"/>
        </w:rPr>
      </w:pPr>
      <w:r>
        <w:rPr>
          <w:rStyle w:val="citedauthor"/>
        </w:rPr>
        <w:t xml:space="preserve">This first hypothesis aims to check whether the statement ‘Energy curse is present in oil extraction’ is true or false. </w:t>
      </w:r>
      <w:r w:rsidR="00DE35B0">
        <w:rPr>
          <w:rStyle w:val="citedauthor"/>
        </w:rPr>
        <w:t xml:space="preserve">To perform the test we used quantitative and qualitative methods. The qualitative approach </w:t>
      </w:r>
      <w:r w:rsidR="00740FE4">
        <w:rPr>
          <w:rStyle w:val="citedauthor"/>
        </w:rPr>
        <w:t>aims</w:t>
      </w:r>
      <w:r w:rsidR="00DE35B0">
        <w:rPr>
          <w:rStyle w:val="citedauthor"/>
        </w:rPr>
        <w:t xml:space="preserve"> to identify where oil revenues from the offshore drilling </w:t>
      </w:r>
      <w:r w:rsidR="00DE35B0" w:rsidRPr="00241B02">
        <w:rPr>
          <w:rStyle w:val="citedauthor"/>
          <w:noProof/>
        </w:rPr>
        <w:t>ha</w:t>
      </w:r>
      <w:r w:rsidR="00241B02">
        <w:rPr>
          <w:rStyle w:val="citedauthor"/>
          <w:noProof/>
        </w:rPr>
        <w:t>ve</w:t>
      </w:r>
      <w:r w:rsidR="00DE35B0">
        <w:rPr>
          <w:rStyle w:val="citedauthor"/>
        </w:rPr>
        <w:t xml:space="preserve"> been directed. </w:t>
      </w:r>
      <w:r w:rsidR="00740FE4">
        <w:rPr>
          <w:rStyle w:val="citedauthor"/>
        </w:rPr>
        <w:t>Brazilian laws and regulations served as support to assess resources destination.</w:t>
      </w:r>
    </w:p>
    <w:p w14:paraId="7A2E5A62" w14:textId="1C51B458" w:rsidR="00740FE4" w:rsidRDefault="00740FE4" w:rsidP="00740FE4">
      <w:pPr>
        <w:pStyle w:val="texto"/>
        <w:tabs>
          <w:tab w:val="left" w:pos="3872"/>
        </w:tabs>
        <w:rPr>
          <w:rStyle w:val="citedauthor"/>
        </w:rPr>
      </w:pPr>
      <w:r>
        <w:rPr>
          <w:rStyle w:val="citedauthor"/>
        </w:rPr>
        <w:t>The main use of oil in Brazil is for transportation purpose.</w:t>
      </w:r>
      <w:r w:rsidR="00DE35B0">
        <w:rPr>
          <w:rStyle w:val="citedauthor"/>
        </w:rPr>
        <w:t xml:space="preserve"> Therefore, the pre-salt exploration aims to bring some direct benefits for the population. </w:t>
      </w:r>
      <w:r>
        <w:rPr>
          <w:rStyle w:val="citedauthor"/>
        </w:rPr>
        <w:t xml:space="preserve">The quantitative method to test energy curse hypothesis used a longitudinal analysis of the variables ‘population benefit’ and ‘oil </w:t>
      </w:r>
      <w:r w:rsidRPr="00B919CE">
        <w:rPr>
          <w:rStyle w:val="citedauthor"/>
          <w:noProof/>
        </w:rPr>
        <w:t>results</w:t>
      </w:r>
      <w:r>
        <w:rPr>
          <w:rStyle w:val="citedauthor"/>
          <w:noProof/>
        </w:rPr>
        <w:t>.'</w:t>
      </w:r>
      <w:r>
        <w:rPr>
          <w:rStyle w:val="citedauthor"/>
        </w:rPr>
        <w:t xml:space="preserve"> </w:t>
      </w:r>
    </w:p>
    <w:p w14:paraId="26FC6C45" w14:textId="3F7D708C" w:rsidR="00DE35B0" w:rsidRDefault="002A0939" w:rsidP="002A0939">
      <w:pPr>
        <w:pStyle w:val="Heading2"/>
        <w:rPr>
          <w:rStyle w:val="citedauthor"/>
        </w:rPr>
      </w:pPr>
      <w:r>
        <w:rPr>
          <w:rStyle w:val="citedauthor"/>
        </w:rPr>
        <w:t>The pre-salt field</w:t>
      </w:r>
    </w:p>
    <w:p w14:paraId="4FA66CA3" w14:textId="67CE8D77" w:rsidR="003860DC" w:rsidRPr="00CA2F42" w:rsidRDefault="00574F6D" w:rsidP="003860DC">
      <w:pPr>
        <w:pStyle w:val="texto"/>
      </w:pPr>
      <w:r>
        <w:t xml:space="preserve">The pre-salt field, discovered in 2006, is also called the ‘black gold’ of the country. </w:t>
      </w:r>
      <w:r w:rsidR="003860DC" w:rsidRPr="00CA2F42">
        <w:t xml:space="preserve">According to Mello et al. (2011), in the post-salt layer, the lighter oil part is consumed by bacteria, which decrease the quantity of gasoline and diesel extracted. However, in the pre-salt layer, </w:t>
      </w:r>
      <w:r w:rsidR="00E16324">
        <w:t>a</w:t>
      </w:r>
      <w:r w:rsidR="003860DC" w:rsidRPr="00CA2F42">
        <w:t xml:space="preserve"> high-temperature </w:t>
      </w:r>
      <w:r w:rsidR="00915132" w:rsidRPr="00CA2F42">
        <w:t>exceeding</w:t>
      </w:r>
      <w:r w:rsidR="003860DC" w:rsidRPr="00CA2F42">
        <w:t xml:space="preserve"> 80</w:t>
      </w:r>
      <w:r w:rsidR="003860DC" w:rsidRPr="00437ED2">
        <w:rPr>
          <w:vertAlign w:val="superscript"/>
        </w:rPr>
        <w:t>o</w:t>
      </w:r>
      <w:r w:rsidR="00E16324">
        <w:t>C because of the</w:t>
      </w:r>
      <w:r w:rsidR="003860DC" w:rsidRPr="00CA2F42">
        <w:t xml:space="preserve"> great depth, allied with </w:t>
      </w:r>
      <w:r w:rsidR="003860DC" w:rsidRPr="00892F9B">
        <w:rPr>
          <w:noProof/>
        </w:rPr>
        <w:t xml:space="preserve">a </w:t>
      </w:r>
      <w:r w:rsidR="003860DC">
        <w:rPr>
          <w:noProof/>
        </w:rPr>
        <w:t>large</w:t>
      </w:r>
      <w:r w:rsidR="003860DC" w:rsidRPr="00CA2F42">
        <w:t xml:space="preserve"> reservoir of rocks, creates a condition that sterilizes the oil and preserves its qualities, enabling extraction of lighter oil, which is more valuable (Mello, et al. 2011). </w:t>
      </w:r>
      <w:r w:rsidR="003860DC" w:rsidRPr="00892F9B">
        <w:rPr>
          <w:noProof/>
        </w:rPr>
        <w:t>Th</w:t>
      </w:r>
      <w:r w:rsidR="003860DC">
        <w:rPr>
          <w:noProof/>
        </w:rPr>
        <w:t>er</w:t>
      </w:r>
      <w:r w:rsidR="003860DC" w:rsidRPr="00892F9B">
        <w:rPr>
          <w:noProof/>
        </w:rPr>
        <w:t>efore</w:t>
      </w:r>
      <w:r w:rsidR="003860DC">
        <w:t xml:space="preserve">, considering the national and international perspectives, the Brazilian government understood that investment in the </w:t>
      </w:r>
      <w:r w:rsidR="00217C53">
        <w:t>p</w:t>
      </w:r>
      <w:r w:rsidR="003860DC">
        <w:t>re-salt would bring wealthy and economic growth to the country.</w:t>
      </w:r>
    </w:p>
    <w:p w14:paraId="2A85EDC3" w14:textId="482E9726" w:rsidR="004D2DF9" w:rsidRDefault="003860DC" w:rsidP="003860DC">
      <w:pPr>
        <w:pStyle w:val="texto"/>
      </w:pPr>
      <w:r w:rsidRPr="000B1D36">
        <w:t xml:space="preserve">The pre-salt field </w:t>
      </w:r>
      <w:r w:rsidRPr="00892F9B">
        <w:rPr>
          <w:noProof/>
        </w:rPr>
        <w:t>is located</w:t>
      </w:r>
      <w:r w:rsidRPr="000B1D36">
        <w:t xml:space="preserve"> around 800 Km of extension by 200 Km width, on the Brazilian East coast, between the states of Santa Catarina and Espirito Santo</w:t>
      </w:r>
      <w:r>
        <w:t xml:space="preserve"> (</w:t>
      </w:r>
      <w:r>
        <w:fldChar w:fldCharType="begin"/>
      </w:r>
      <w:r>
        <w:instrText xml:space="preserve"> REF _Ref437109158 \h </w:instrText>
      </w:r>
      <w:r>
        <w:fldChar w:fldCharType="separate"/>
      </w:r>
      <w:r w:rsidR="00A22E4D" w:rsidRPr="00163F73">
        <w:t xml:space="preserve">Figure </w:t>
      </w:r>
      <w:r w:rsidR="00A22E4D">
        <w:rPr>
          <w:noProof/>
        </w:rPr>
        <w:t>1</w:t>
      </w:r>
      <w:r>
        <w:fldChar w:fldCharType="end"/>
      </w:r>
      <w:r>
        <w:t>)</w:t>
      </w:r>
      <w:r w:rsidRPr="000B1D36">
        <w:t xml:space="preserve">, totaling </w:t>
      </w:r>
      <w:r w:rsidRPr="000B1D36">
        <w:lastRenderedPageBreak/>
        <w:t>an area of 149 million Km</w:t>
      </w:r>
      <w:r w:rsidRPr="00A7571E">
        <w:rPr>
          <w:vertAlign w:val="superscript"/>
        </w:rPr>
        <w:t>2</w:t>
      </w:r>
      <w:r w:rsidRPr="000B1D36">
        <w:t xml:space="preserve"> (PETROBRAS, n.d.).</w:t>
      </w:r>
      <w:r>
        <w:t xml:space="preserve"> </w:t>
      </w:r>
      <w:r w:rsidR="004D2DF9">
        <w:t xml:space="preserve">The exploration of the field must </w:t>
      </w:r>
      <w:r w:rsidR="004D2DF9" w:rsidRPr="00CE4B39">
        <w:rPr>
          <w:noProof/>
        </w:rPr>
        <w:t>overcome several challenges.</w:t>
      </w:r>
      <w:r w:rsidR="009F6356">
        <w:rPr>
          <w:noProof/>
        </w:rPr>
        <w:t xml:space="preserve"> The first challenge is the extraction in ultradepp water. Water </w:t>
      </w:r>
      <w:r w:rsidR="009F6356" w:rsidRPr="000B1D36">
        <w:t>depths can exceed 2</w:t>
      </w:r>
      <w:r w:rsidR="009F6356">
        <w:t>,000 meters.</w:t>
      </w:r>
      <w:r w:rsidR="009F6356" w:rsidRPr="009F6356">
        <w:t xml:space="preserve"> </w:t>
      </w:r>
      <w:r w:rsidR="009F6356" w:rsidRPr="000B1D36">
        <w:t xml:space="preserve">The post-salt layer </w:t>
      </w:r>
      <w:r w:rsidR="009F6356">
        <w:t>varies</w:t>
      </w:r>
      <w:r w:rsidR="009F6356" w:rsidRPr="000B1D36">
        <w:t xml:space="preserve"> from 1</w:t>
      </w:r>
      <w:r w:rsidR="009F6356">
        <w:t>,</w:t>
      </w:r>
      <w:r w:rsidR="009F6356" w:rsidRPr="000B1D36">
        <w:t>000 meters to 2</w:t>
      </w:r>
      <w:r w:rsidR="009F6356">
        <w:t>,</w:t>
      </w:r>
      <w:r w:rsidR="009F6356" w:rsidRPr="000B1D36">
        <w:t>000 meters</w:t>
      </w:r>
      <w:r w:rsidR="009F6356">
        <w:t>.</w:t>
      </w:r>
      <w:r w:rsidR="009F6356" w:rsidRPr="000B1D36">
        <w:t xml:space="preserve"> </w:t>
      </w:r>
      <w:r w:rsidR="009F6356">
        <w:t>T</w:t>
      </w:r>
      <w:r w:rsidR="009F6356" w:rsidRPr="000B1D36">
        <w:t xml:space="preserve">he salt layer </w:t>
      </w:r>
      <w:r w:rsidR="009F6356">
        <w:t xml:space="preserve">is </w:t>
      </w:r>
      <w:r w:rsidR="009F6356" w:rsidRPr="000B1D36">
        <w:t>2</w:t>
      </w:r>
      <w:r w:rsidR="009F6356">
        <w:t>,</w:t>
      </w:r>
      <w:r w:rsidR="009F6356" w:rsidRPr="000B1D36">
        <w:t>000 to 5</w:t>
      </w:r>
      <w:r w:rsidR="009F6356">
        <w:t>,</w:t>
      </w:r>
      <w:r w:rsidR="009F6356" w:rsidRPr="000B1D36">
        <w:t xml:space="preserve">000 meters thick, and the pre-salt layer </w:t>
      </w:r>
      <w:r w:rsidR="009F6356" w:rsidRPr="00CE4B39">
        <w:rPr>
          <w:noProof/>
        </w:rPr>
        <w:t>var</w:t>
      </w:r>
      <w:r w:rsidR="009F6356">
        <w:rPr>
          <w:noProof/>
        </w:rPr>
        <w:t>ies</w:t>
      </w:r>
      <w:r w:rsidR="009F6356">
        <w:t xml:space="preserve"> from</w:t>
      </w:r>
      <w:r w:rsidR="009F6356" w:rsidRPr="000B1D36">
        <w:t xml:space="preserve"> 500 to 1,500 meters (</w:t>
      </w:r>
      <w:r w:rsidR="009F6356" w:rsidRPr="000B1D36">
        <w:fldChar w:fldCharType="begin"/>
      </w:r>
      <w:r w:rsidR="009F6356" w:rsidRPr="000B1D36">
        <w:instrText xml:space="preserve"> REF _Ref437109158 \h </w:instrText>
      </w:r>
      <w:r w:rsidR="009F6356">
        <w:instrText xml:space="preserve"> \* MERGEFORMAT </w:instrText>
      </w:r>
      <w:r w:rsidR="009F6356" w:rsidRPr="000B1D36">
        <w:fldChar w:fldCharType="separate"/>
      </w:r>
      <w:r w:rsidR="009F6356" w:rsidRPr="00163F73">
        <w:t xml:space="preserve">Figure </w:t>
      </w:r>
      <w:r w:rsidR="009F6356">
        <w:t>1</w:t>
      </w:r>
      <w:r w:rsidR="009F6356" w:rsidRPr="000B1D36">
        <w:fldChar w:fldCharType="end"/>
      </w:r>
      <w:r w:rsidR="009F6356" w:rsidRPr="000B1D36">
        <w:t>) (PETROBRAS, n.d.). Therefore, the total depth can exceed 7</w:t>
      </w:r>
      <w:r w:rsidR="009F6356">
        <w:t>,</w:t>
      </w:r>
      <w:r w:rsidR="009F6356" w:rsidRPr="000B1D36">
        <w:t>000 meters</w:t>
      </w:r>
      <w:r w:rsidR="009F6356">
        <w:t>. The second challenge is related to oil temperature.</w:t>
      </w:r>
      <w:r w:rsidR="00901A8F">
        <w:t xml:space="preserve"> A</w:t>
      </w:r>
      <w:r w:rsidR="00901A8F" w:rsidRPr="000B1D36">
        <w:t>ccording to Carminatti et al</w:t>
      </w:r>
      <w:r w:rsidR="00901A8F">
        <w:t>.</w:t>
      </w:r>
      <w:r w:rsidR="00901A8F" w:rsidRPr="000B1D36">
        <w:t xml:space="preserve"> (2008), when the oil leaves the</w:t>
      </w:r>
      <w:r w:rsidR="00901A8F">
        <w:t xml:space="preserve"> rocks, it is </w:t>
      </w:r>
      <w:r w:rsidR="00901A8F" w:rsidRPr="00892F9B">
        <w:rPr>
          <w:noProof/>
        </w:rPr>
        <w:t>extremely hot</w:t>
      </w:r>
      <w:r w:rsidR="00901A8F">
        <w:t xml:space="preserve">. The thermal shock </w:t>
      </w:r>
      <w:r w:rsidR="00901A8F">
        <w:rPr>
          <w:noProof/>
        </w:rPr>
        <w:t>because of</w:t>
      </w:r>
      <w:r w:rsidR="00901A8F">
        <w:t xml:space="preserve"> its contact </w:t>
      </w:r>
      <w:r w:rsidR="00901A8F" w:rsidRPr="000B1D36">
        <w:t>with the cold seawater can create precipitation in the flexible extraction lines.</w:t>
      </w:r>
    </w:p>
    <w:p w14:paraId="7B1786ED" w14:textId="77777777" w:rsidR="003860DC" w:rsidRPr="004D5BF0" w:rsidRDefault="003860DC" w:rsidP="003860DC">
      <w:pPr>
        <w:pStyle w:val="picture"/>
      </w:pPr>
      <w:r>
        <w:drawing>
          <wp:inline distT="0" distB="0" distL="0" distR="0" wp14:anchorId="34E41226" wp14:editId="2C991AF7">
            <wp:extent cx="2876550" cy="1942445"/>
            <wp:effectExtent l="0" t="0" r="0" b="1270"/>
            <wp:docPr id="3" name="Picture 3" descr="http://sites.duke.edu/history136a_01_s2012_rdd12/files/2012/04/Field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es.duke.edu/history136a_01_s2012_rdd12/files/2012/04/Field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2700" cy="1960104"/>
                    </a:xfrm>
                    <a:prstGeom prst="rect">
                      <a:avLst/>
                    </a:prstGeom>
                    <a:noFill/>
                    <a:ln>
                      <a:noFill/>
                    </a:ln>
                  </pic:spPr>
                </pic:pic>
              </a:graphicData>
            </a:graphic>
          </wp:inline>
        </w:drawing>
      </w:r>
      <w:r w:rsidRPr="004D5BF0">
        <w:drawing>
          <wp:inline distT="0" distB="0" distL="0" distR="0" wp14:anchorId="08AC436F" wp14:editId="53A3BAA9">
            <wp:extent cx="2830983" cy="2042648"/>
            <wp:effectExtent l="0" t="0" r="7620" b="0"/>
            <wp:docPr id="98" name="Picture 98" descr="http://static.cdn-seekingalpha.com/uploads/2013/3/12/1356991-136309597885032-Jeff-Willi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cdn-seekingalpha.com/uploads/2013/3/12/1356991-136309597885032-Jeff-Williams.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9620"/>
                    <a:stretch>
                      <a:fillRect/>
                    </a:stretch>
                  </pic:blipFill>
                  <pic:spPr bwMode="auto">
                    <a:xfrm>
                      <a:off x="0" y="0"/>
                      <a:ext cx="2867596" cy="2069065"/>
                    </a:xfrm>
                    <a:prstGeom prst="rect">
                      <a:avLst/>
                    </a:prstGeom>
                    <a:noFill/>
                    <a:ln>
                      <a:noFill/>
                    </a:ln>
                    <a:extLst>
                      <a:ext uri="{53640926-AAD7-44D8-BBD7-CCE9431645EC}">
                        <a14:shadowObscured xmlns:a14="http://schemas.microsoft.com/office/drawing/2010/main"/>
                      </a:ext>
                    </a:extLst>
                  </pic:spPr>
                </pic:pic>
              </a:graphicData>
            </a:graphic>
          </wp:inline>
        </w:drawing>
      </w:r>
    </w:p>
    <w:p w14:paraId="50A03D3D" w14:textId="7A10C56F" w:rsidR="003860DC" w:rsidRPr="00163F73" w:rsidRDefault="003860DC" w:rsidP="003860DC">
      <w:pPr>
        <w:pStyle w:val="Caption"/>
      </w:pPr>
      <w:bookmarkStart w:id="1" w:name="_Ref437109158"/>
      <w:r w:rsidRPr="00163F73">
        <w:t xml:space="preserve">Figure </w:t>
      </w:r>
      <w:r>
        <w:fldChar w:fldCharType="begin"/>
      </w:r>
      <w:r w:rsidRPr="00163F73">
        <w:instrText xml:space="preserve"> SEQ Figure \* ARABIC </w:instrText>
      </w:r>
      <w:r>
        <w:fldChar w:fldCharType="separate"/>
      </w:r>
      <w:r w:rsidR="00A22E4D">
        <w:rPr>
          <w:noProof/>
        </w:rPr>
        <w:t>1</w:t>
      </w:r>
      <w:r>
        <w:rPr>
          <w:noProof/>
        </w:rPr>
        <w:fldChar w:fldCharType="end"/>
      </w:r>
      <w:bookmarkEnd w:id="1"/>
      <w:r w:rsidRPr="00163F73">
        <w:t xml:space="preserve">. Location of the pre-salt reservoirs (left) and </w:t>
      </w:r>
      <w:r w:rsidRPr="00892F9B">
        <w:rPr>
          <w:noProof/>
        </w:rPr>
        <w:t>location</w:t>
      </w:r>
      <w:r w:rsidRPr="00163F73">
        <w:t xml:space="preserve"> of pre-salt layer (right)</w:t>
      </w:r>
    </w:p>
    <w:p w14:paraId="2E5A32D7" w14:textId="54722E7B" w:rsidR="003860DC" w:rsidRPr="004D5BF0" w:rsidRDefault="003860DC" w:rsidP="003860DC">
      <w:pPr>
        <w:pStyle w:val="Source"/>
      </w:pPr>
      <w:r w:rsidRPr="004D5BF0">
        <w:t xml:space="preserve">Source: Retrieved from </w:t>
      </w:r>
      <w:hyperlink r:id="rId12" w:history="1">
        <w:r w:rsidRPr="00156BAA">
          <w:rPr>
            <w:rStyle w:val="Hyperlink"/>
          </w:rPr>
          <w:t>http://static.cdn-seekingalpha.com/uploads/2013/3/12/1356991-136309597885032-Jeff-Williams.jpg</w:t>
        </w:r>
      </w:hyperlink>
      <w:r>
        <w:t xml:space="preserve"> (</w:t>
      </w:r>
      <w:r w:rsidRPr="00892F9B">
        <w:rPr>
          <w:noProof/>
        </w:rPr>
        <w:t>pre</w:t>
      </w:r>
      <w:r>
        <w:rPr>
          <w:noProof/>
        </w:rPr>
        <w:t>-</w:t>
      </w:r>
      <w:r w:rsidRPr="00892F9B">
        <w:rPr>
          <w:noProof/>
        </w:rPr>
        <w:t>salt</w:t>
      </w:r>
      <w:r>
        <w:t xml:space="preserve"> layer) </w:t>
      </w:r>
      <w:r w:rsidRPr="00892F9B">
        <w:rPr>
          <w:noProof/>
        </w:rPr>
        <w:t>and</w:t>
      </w:r>
      <w:r>
        <w:t xml:space="preserve"> </w:t>
      </w:r>
      <w:r w:rsidRPr="00A7571E">
        <w:t>http://sites.duke.edu/history136a_01_s2012_rdd12/technical-background/</w:t>
      </w:r>
      <w:r>
        <w:t xml:space="preserve"> (</w:t>
      </w:r>
      <w:r w:rsidRPr="00892F9B">
        <w:rPr>
          <w:noProof/>
        </w:rPr>
        <w:t>pre</w:t>
      </w:r>
      <w:r>
        <w:rPr>
          <w:noProof/>
        </w:rPr>
        <w:t>-</w:t>
      </w:r>
      <w:r w:rsidRPr="00892F9B">
        <w:rPr>
          <w:noProof/>
        </w:rPr>
        <w:t>salt</w:t>
      </w:r>
      <w:r>
        <w:t xml:space="preserve"> </w:t>
      </w:r>
      <w:r w:rsidRPr="00892F9B">
        <w:rPr>
          <w:noProof/>
        </w:rPr>
        <w:t>reservoirs</w:t>
      </w:r>
      <w:r>
        <w:t>)</w:t>
      </w:r>
    </w:p>
    <w:p w14:paraId="555D283D" w14:textId="6B0A7B1A" w:rsidR="003860DC" w:rsidRPr="004D5BF0" w:rsidRDefault="003860DC" w:rsidP="003860DC">
      <w:pPr>
        <w:pStyle w:val="texto"/>
      </w:pPr>
      <w:r>
        <w:t>The t</w:t>
      </w:r>
      <w:r w:rsidRPr="004D5BF0">
        <w:t>hird</w:t>
      </w:r>
      <w:r>
        <w:t xml:space="preserve"> challenge is related to the distance between the coast and the deposits. In average, the current off-shore are situated around 100 Km from the coast. The pre-salt deposits </w:t>
      </w:r>
      <w:r w:rsidRPr="00892F9B">
        <w:rPr>
          <w:noProof/>
        </w:rPr>
        <w:t>are located</w:t>
      </w:r>
      <w:r>
        <w:t xml:space="preserve"> from </w:t>
      </w:r>
      <w:r w:rsidRPr="004D5BF0">
        <w:t>150 to 300 km from</w:t>
      </w:r>
      <w:r>
        <w:t xml:space="preserve"> </w:t>
      </w:r>
      <w:r w:rsidRPr="004D5BF0">
        <w:t>the coast</w:t>
      </w:r>
      <w:r>
        <w:t xml:space="preserve">, which implies that </w:t>
      </w:r>
      <w:r w:rsidRPr="004D5BF0">
        <w:t>the platform is often subject to severe oceanic conditions (Lima, 2009).</w:t>
      </w:r>
      <w:r>
        <w:t xml:space="preserve"> </w:t>
      </w:r>
      <w:r w:rsidRPr="004D5BF0">
        <w:t xml:space="preserve">Further, long distances </w:t>
      </w:r>
      <w:r>
        <w:t xml:space="preserve">involve difficulties </w:t>
      </w:r>
      <w:r w:rsidRPr="004D5BF0">
        <w:t>in</w:t>
      </w:r>
      <w:r>
        <w:t xml:space="preserve"> the</w:t>
      </w:r>
      <w:r w:rsidRPr="004D5BF0">
        <w:t xml:space="preserve"> </w:t>
      </w:r>
      <w:r w:rsidRPr="00892F9B">
        <w:rPr>
          <w:noProof/>
        </w:rPr>
        <w:t>transportation</w:t>
      </w:r>
      <w:r w:rsidRPr="004D5BF0">
        <w:t xml:space="preserve"> of people, equipment, and supplies for producing </w:t>
      </w:r>
      <w:r w:rsidR="00915132" w:rsidRPr="004D5BF0">
        <w:t>deep-water</w:t>
      </w:r>
      <w:r w:rsidRPr="004D5BF0">
        <w:t xml:space="preserve"> wells. </w:t>
      </w:r>
    </w:p>
    <w:p w14:paraId="71DD8699" w14:textId="77777777" w:rsidR="003860DC" w:rsidRDefault="003860DC" w:rsidP="003860DC">
      <w:pPr>
        <w:pStyle w:val="texto"/>
      </w:pPr>
      <w:r>
        <w:t>The f</w:t>
      </w:r>
      <w:r w:rsidRPr="00F306E4">
        <w:t>ourth</w:t>
      </w:r>
      <w:r>
        <w:t xml:space="preserve"> challenge is regarding </w:t>
      </w:r>
      <w:r w:rsidRPr="00F306E4">
        <w:t>the CO</w:t>
      </w:r>
      <w:r w:rsidRPr="00D9784D">
        <w:rPr>
          <w:vertAlign w:val="subscript"/>
        </w:rPr>
        <w:t>2</w:t>
      </w:r>
      <w:r w:rsidRPr="00F306E4">
        <w:t xml:space="preserve"> present</w:t>
      </w:r>
      <w:r>
        <w:t>ed</w:t>
      </w:r>
      <w:r w:rsidRPr="00F306E4">
        <w:t xml:space="preserve"> inside the deposits. The carbon dioxide </w:t>
      </w:r>
      <w:r w:rsidRPr="00892F9B">
        <w:rPr>
          <w:noProof/>
        </w:rPr>
        <w:t>is mixed</w:t>
      </w:r>
      <w:r w:rsidRPr="00F306E4">
        <w:t xml:space="preserve"> with oil and natural gas, which come up during the exploration. In the pos-salt </w:t>
      </w:r>
      <w:r>
        <w:t>offshore</w:t>
      </w:r>
      <w:r w:rsidRPr="00F306E4">
        <w:t xml:space="preserve"> the average concentration of CO</w:t>
      </w:r>
      <w:r w:rsidRPr="00AB74C8">
        <w:rPr>
          <w:vertAlign w:val="subscript"/>
        </w:rPr>
        <w:t>2</w:t>
      </w:r>
      <w:r w:rsidRPr="00F306E4">
        <w:t xml:space="preserve"> was around 5%. In the pre-salt field, it is around 8% to 12% (Lima, 2009). </w:t>
      </w:r>
      <w:r w:rsidRPr="00892F9B">
        <w:rPr>
          <w:noProof/>
        </w:rPr>
        <w:t>According</w:t>
      </w:r>
      <w:r>
        <w:rPr>
          <w:noProof/>
        </w:rPr>
        <w:t xml:space="preserve"> to</w:t>
      </w:r>
      <w:r w:rsidRPr="00F306E4">
        <w:t xml:space="preserve"> Lima (2009), it is estimated that just</w:t>
      </w:r>
      <w:r>
        <w:t xml:space="preserve"> considering two </w:t>
      </w:r>
      <w:r w:rsidRPr="00F306E4">
        <w:lastRenderedPageBreak/>
        <w:t>extraction areas (Tupi and Iara) there are 3.1 GtCO</w:t>
      </w:r>
      <w:r w:rsidRPr="00AB74C8">
        <w:rPr>
          <w:vertAlign w:val="subscript"/>
        </w:rPr>
        <w:t>2</w:t>
      </w:r>
      <w:r w:rsidRPr="00AB74C8">
        <w:t xml:space="preserve"> </w:t>
      </w:r>
      <w:r w:rsidRPr="00F306E4">
        <w:t>inside the deposits</w:t>
      </w:r>
      <w:r>
        <w:t>.</w:t>
      </w:r>
      <w:r w:rsidRPr="00F306E4">
        <w:t xml:space="preserve"> </w:t>
      </w:r>
      <w:r w:rsidRPr="00613936">
        <w:rPr>
          <w:noProof/>
        </w:rPr>
        <w:t>To avoid the carbon dioxide emission into the atmosphere</w:t>
      </w:r>
      <w:r w:rsidRPr="00F306E4">
        <w:t>, there are discussion</w:t>
      </w:r>
      <w:r>
        <w:t>s</w:t>
      </w:r>
      <w:r w:rsidRPr="00F306E4">
        <w:t xml:space="preserve"> and studies to storage carbon or to use </w:t>
      </w:r>
      <w:r>
        <w:t>it</w:t>
      </w:r>
      <w:r w:rsidRPr="00F306E4">
        <w:t xml:space="preserve"> into the wells in an alternate injection of water and CO</w:t>
      </w:r>
      <w:r w:rsidRPr="00F306E4">
        <w:rPr>
          <w:vertAlign w:val="subscript"/>
        </w:rPr>
        <w:t>2</w:t>
      </w:r>
      <w:r w:rsidRPr="00F306E4">
        <w:t xml:space="preserve">. Although the technology is known, it </w:t>
      </w:r>
      <w:r w:rsidRPr="00892F9B">
        <w:rPr>
          <w:noProof/>
        </w:rPr>
        <w:t>ha</w:t>
      </w:r>
      <w:r>
        <w:rPr>
          <w:noProof/>
        </w:rPr>
        <w:t>s</w:t>
      </w:r>
      <w:r w:rsidRPr="00F306E4">
        <w:t xml:space="preserve"> not been utilized on a commercial scale (Lima, 2009). </w:t>
      </w:r>
    </w:p>
    <w:p w14:paraId="4EF438FD" w14:textId="0025E0C2" w:rsidR="002A0939" w:rsidRDefault="003860DC" w:rsidP="00915132">
      <w:pPr>
        <w:pStyle w:val="texto"/>
        <w:rPr>
          <w:rStyle w:val="citedauthor"/>
        </w:rPr>
      </w:pPr>
      <w:r w:rsidRPr="00892F9B">
        <w:rPr>
          <w:noProof/>
        </w:rPr>
        <w:t>Evaluations by Greenpeace Brazil (2009) claim that the unknowns related to the CO</w:t>
      </w:r>
      <w:r w:rsidRPr="00892F9B">
        <w:rPr>
          <w:noProof/>
          <w:vertAlign w:val="subscript"/>
        </w:rPr>
        <w:t>2</w:t>
      </w:r>
      <w:r w:rsidRPr="00892F9B">
        <w:rPr>
          <w:noProof/>
        </w:rPr>
        <w:t xml:space="preserve"> inside the deposits bring concern</w:t>
      </w:r>
      <w:r w:rsidR="00613936">
        <w:rPr>
          <w:noProof/>
        </w:rPr>
        <w:t>s</w:t>
      </w:r>
      <w:r w:rsidRPr="00892F9B">
        <w:rPr>
          <w:noProof/>
        </w:rPr>
        <w:t>.</w:t>
      </w:r>
      <w:r w:rsidRPr="00F306E4">
        <w:t xml:space="preserve"> Ricardo Baitelo, Ph.D. in energy planning in the Polytechnic School of</w:t>
      </w:r>
      <w:r w:rsidR="00C7565C">
        <w:t xml:space="preserve"> Sao Paulo</w:t>
      </w:r>
      <w:r w:rsidRPr="00F306E4">
        <w:t xml:space="preserve"> </w:t>
      </w:r>
      <w:r w:rsidR="00C7565C">
        <w:t>(</w:t>
      </w:r>
      <w:r w:rsidRPr="00F306E4">
        <w:t>USP</w:t>
      </w:r>
      <w:r w:rsidR="00C7565C">
        <w:t>)</w:t>
      </w:r>
      <w:r w:rsidRPr="00F306E4">
        <w:t xml:space="preserve"> and Campaign Coordinator renewable energy Greenpeace Brazil, affirms </w:t>
      </w:r>
      <w:r>
        <w:t xml:space="preserve">that the </w:t>
      </w:r>
      <w:r w:rsidRPr="00F306E4">
        <w:t>alternate injection</w:t>
      </w:r>
      <w:r w:rsidRPr="00AB74C8">
        <w:t xml:space="preserve"> </w:t>
      </w:r>
      <w:r w:rsidRPr="00F306E4">
        <w:t xml:space="preserve">technology is an </w:t>
      </w:r>
      <w:r w:rsidRPr="00892F9B">
        <w:rPr>
          <w:noProof/>
        </w:rPr>
        <w:t>experiment</w:t>
      </w:r>
      <w:r>
        <w:rPr>
          <w:noProof/>
        </w:rPr>
        <w:t>,</w:t>
      </w:r>
      <w:r>
        <w:t xml:space="preserve"> and it is not </w:t>
      </w:r>
      <w:r w:rsidRPr="00F306E4">
        <w:t>available (Greenpeace Brazil, 2009).</w:t>
      </w:r>
      <w:r>
        <w:t xml:space="preserve"> The studies assessed by the present paper could not ensure</w:t>
      </w:r>
      <w:r w:rsidRPr="00362438">
        <w:t xml:space="preserve"> </w:t>
      </w:r>
      <w:r w:rsidR="00613936">
        <w:t xml:space="preserve">whether </w:t>
      </w:r>
      <w:r w:rsidR="00915132" w:rsidRPr="00F306E4">
        <w:t>Petrobras deployed the technology on</w:t>
      </w:r>
      <w:r w:rsidR="00613936">
        <w:t xml:space="preserve"> an</w:t>
      </w:r>
      <w:r w:rsidR="00915132" w:rsidRPr="00F306E4">
        <w:t xml:space="preserve"> </w:t>
      </w:r>
      <w:r w:rsidR="00915132" w:rsidRPr="00613936">
        <w:rPr>
          <w:noProof/>
        </w:rPr>
        <w:t>industrial</w:t>
      </w:r>
      <w:r w:rsidR="00915132" w:rsidRPr="00F306E4">
        <w:t xml:space="preserve"> scale</w:t>
      </w:r>
      <w:r w:rsidR="00613936">
        <w:t>, or it is just an investigation.</w:t>
      </w:r>
    </w:p>
    <w:p w14:paraId="6B985D3F" w14:textId="71BE0D87" w:rsidR="00501996" w:rsidRDefault="005D7377" w:rsidP="00EB2681">
      <w:pPr>
        <w:pStyle w:val="texto"/>
        <w:tabs>
          <w:tab w:val="left" w:pos="3872"/>
        </w:tabs>
        <w:rPr>
          <w:rStyle w:val="citedauthor"/>
        </w:rPr>
      </w:pPr>
      <w:r w:rsidRPr="00C7565C">
        <w:rPr>
          <w:rStyle w:val="citedauthor"/>
          <w:noProof/>
        </w:rPr>
        <w:t>According</w:t>
      </w:r>
      <w:r w:rsidR="00C7565C">
        <w:rPr>
          <w:rStyle w:val="citedauthor"/>
          <w:noProof/>
        </w:rPr>
        <w:t xml:space="preserve"> to</w:t>
      </w:r>
      <w:r>
        <w:rPr>
          <w:rStyle w:val="citedauthor"/>
        </w:rPr>
        <w:t xml:space="preserve"> Petrobras (2011), until 2010 the average time to build an offshore well in the pre-salt cluster was about 310 days. Therefore, the oil results from the pre-salt field started to enter </w:t>
      </w:r>
      <w:r w:rsidR="00C7565C" w:rsidRPr="00C7565C">
        <w:rPr>
          <w:rStyle w:val="citedauthor"/>
          <w:noProof/>
        </w:rPr>
        <w:t>in</w:t>
      </w:r>
      <w:r w:rsidRPr="00C7565C">
        <w:rPr>
          <w:rStyle w:val="citedauthor"/>
          <w:noProof/>
        </w:rPr>
        <w:t xml:space="preserve"> </w:t>
      </w:r>
      <w:r>
        <w:rPr>
          <w:rStyle w:val="citedauthor"/>
        </w:rPr>
        <w:t xml:space="preserve">the Brazilian production in </w:t>
      </w:r>
      <w:r w:rsidRPr="00C7565C">
        <w:rPr>
          <w:rStyle w:val="citedauthor"/>
          <w:noProof/>
        </w:rPr>
        <w:t>201</w:t>
      </w:r>
      <w:r w:rsidR="00953DA3" w:rsidRPr="00C7565C">
        <w:rPr>
          <w:rStyle w:val="citedauthor"/>
          <w:noProof/>
        </w:rPr>
        <w:t>0</w:t>
      </w:r>
      <w:r>
        <w:rPr>
          <w:rStyle w:val="citedauthor"/>
        </w:rPr>
        <w:t xml:space="preserve"> </w:t>
      </w:r>
      <w:r w:rsidR="00C7565C">
        <w:rPr>
          <w:rStyle w:val="citedauthor"/>
        </w:rPr>
        <w:t>and</w:t>
      </w:r>
      <w:r>
        <w:rPr>
          <w:rStyle w:val="citedauthor"/>
        </w:rPr>
        <w:t xml:space="preserve"> </w:t>
      </w:r>
      <w:r w:rsidRPr="00C7565C">
        <w:rPr>
          <w:rStyle w:val="citedauthor"/>
          <w:noProof/>
        </w:rPr>
        <w:t>ha</w:t>
      </w:r>
      <w:r w:rsidR="00C7565C">
        <w:rPr>
          <w:rStyle w:val="citedauthor"/>
          <w:noProof/>
        </w:rPr>
        <w:t>ve</w:t>
      </w:r>
      <w:r w:rsidR="00D60650">
        <w:rPr>
          <w:rStyle w:val="citedauthor"/>
        </w:rPr>
        <w:t xml:space="preserve"> </w:t>
      </w:r>
      <w:r w:rsidR="00C7565C">
        <w:rPr>
          <w:rStyle w:val="citedauthor"/>
          <w:noProof/>
        </w:rPr>
        <w:t>constantly increased</w:t>
      </w:r>
      <w:r w:rsidR="00D60650">
        <w:rPr>
          <w:rStyle w:val="citedauthor"/>
        </w:rPr>
        <w:t xml:space="preserve"> (</w:t>
      </w:r>
      <w:r w:rsidR="00D60650">
        <w:rPr>
          <w:rStyle w:val="citedauthor"/>
        </w:rPr>
        <w:fldChar w:fldCharType="begin"/>
      </w:r>
      <w:r w:rsidR="00D60650">
        <w:rPr>
          <w:rStyle w:val="citedauthor"/>
        </w:rPr>
        <w:instrText xml:space="preserve"> REF _Ref477796627 \h </w:instrText>
      </w:r>
      <w:r w:rsidR="00D60650">
        <w:rPr>
          <w:rStyle w:val="citedauthor"/>
        </w:rPr>
      </w:r>
      <w:r w:rsidR="00D60650">
        <w:rPr>
          <w:rStyle w:val="citedauthor"/>
        </w:rPr>
        <w:fldChar w:fldCharType="separate"/>
      </w:r>
      <w:r w:rsidR="00A22E4D" w:rsidRPr="00163F73">
        <w:t xml:space="preserve">Chart </w:t>
      </w:r>
      <w:r w:rsidR="00A22E4D">
        <w:rPr>
          <w:noProof/>
        </w:rPr>
        <w:t>2</w:t>
      </w:r>
      <w:r w:rsidR="00D60650">
        <w:rPr>
          <w:rStyle w:val="citedauthor"/>
        </w:rPr>
        <w:fldChar w:fldCharType="end"/>
      </w:r>
      <w:r w:rsidR="00D60650">
        <w:rPr>
          <w:rStyle w:val="citedauthor"/>
        </w:rPr>
        <w:t>). On average, from 2001 to 2010 the production was about 1,8</w:t>
      </w:r>
      <w:r w:rsidR="00953DA3">
        <w:rPr>
          <w:rStyle w:val="citedauthor"/>
        </w:rPr>
        <w:t>45</w:t>
      </w:r>
      <w:r w:rsidR="00D60650">
        <w:rPr>
          <w:rStyle w:val="citedauthor"/>
        </w:rPr>
        <w:t xml:space="preserve"> bpd. After the pre-salt, the ave</w:t>
      </w:r>
      <w:r w:rsidR="00953DA3">
        <w:rPr>
          <w:rStyle w:val="citedauthor"/>
        </w:rPr>
        <w:t>rage from 2011 to 2016 was 2,207</w:t>
      </w:r>
      <w:r w:rsidR="00D60650">
        <w:rPr>
          <w:rStyle w:val="citedauthor"/>
        </w:rPr>
        <w:t xml:space="preserve"> bpd, which represents an </w:t>
      </w:r>
      <w:r w:rsidR="007E7052">
        <w:rPr>
          <w:rStyle w:val="citedauthor"/>
        </w:rPr>
        <w:t>increment</w:t>
      </w:r>
      <w:r w:rsidR="00D60650">
        <w:rPr>
          <w:rStyle w:val="citedauthor"/>
        </w:rPr>
        <w:t xml:space="preserve"> in the average of </w:t>
      </w:r>
      <w:r w:rsidR="00953DA3">
        <w:rPr>
          <w:rStyle w:val="citedauthor"/>
        </w:rPr>
        <w:t>16</w:t>
      </w:r>
      <w:r w:rsidR="00D60650">
        <w:rPr>
          <w:rStyle w:val="citedauthor"/>
        </w:rPr>
        <w:t>%.</w:t>
      </w:r>
    </w:p>
    <w:p w14:paraId="3D3C2D46" w14:textId="5B96E1CD" w:rsidR="00501996" w:rsidRPr="00163F73" w:rsidRDefault="00501996" w:rsidP="00501996">
      <w:pPr>
        <w:pStyle w:val="Caption"/>
      </w:pPr>
      <w:bookmarkStart w:id="2" w:name="_Ref477796627"/>
      <w:r w:rsidRPr="00163F73">
        <w:t xml:space="preserve">Chart </w:t>
      </w:r>
      <w:r>
        <w:fldChar w:fldCharType="begin"/>
      </w:r>
      <w:r w:rsidRPr="00163F73">
        <w:instrText xml:space="preserve"> SEQ Chart \* ARABIC </w:instrText>
      </w:r>
      <w:r>
        <w:fldChar w:fldCharType="separate"/>
      </w:r>
      <w:r w:rsidR="00A22E4D">
        <w:rPr>
          <w:noProof/>
        </w:rPr>
        <w:t>2</w:t>
      </w:r>
      <w:r>
        <w:rPr>
          <w:noProof/>
        </w:rPr>
        <w:fldChar w:fldCharType="end"/>
      </w:r>
      <w:bookmarkEnd w:id="2"/>
      <w:r w:rsidRPr="00163F73">
        <w:t xml:space="preserve">. </w:t>
      </w:r>
      <w:r>
        <w:t>Average oil production in Brazil from 2001-2016</w:t>
      </w:r>
    </w:p>
    <w:p w14:paraId="71CC10E5" w14:textId="2E57AD03" w:rsidR="005D7377" w:rsidRDefault="00501996" w:rsidP="00EB2681">
      <w:pPr>
        <w:pStyle w:val="texto"/>
        <w:tabs>
          <w:tab w:val="left" w:pos="3872"/>
        </w:tabs>
        <w:rPr>
          <w:rStyle w:val="citedauthor"/>
        </w:rPr>
      </w:pPr>
      <w:r>
        <w:rPr>
          <w:noProof/>
        </w:rPr>
        <w:drawing>
          <wp:inline distT="0" distB="0" distL="0" distR="0" wp14:anchorId="79D60EF8" wp14:editId="1D04CBA1">
            <wp:extent cx="4838700" cy="197167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04B9ADF" w14:textId="711060D5" w:rsidR="00501996" w:rsidRPr="008975F3" w:rsidRDefault="00501996" w:rsidP="00501996">
      <w:pPr>
        <w:pStyle w:val="texto"/>
        <w:rPr>
          <w:sz w:val="20"/>
          <w:szCs w:val="20"/>
        </w:rPr>
      </w:pPr>
      <w:r w:rsidRPr="008975F3">
        <w:rPr>
          <w:sz w:val="20"/>
          <w:szCs w:val="20"/>
        </w:rPr>
        <w:t xml:space="preserve">Source: </w:t>
      </w:r>
      <w:r w:rsidR="00D60650" w:rsidRPr="008975F3">
        <w:rPr>
          <w:sz w:val="20"/>
          <w:szCs w:val="20"/>
        </w:rPr>
        <w:t xml:space="preserve">Petrobras </w:t>
      </w:r>
      <w:r w:rsidRPr="008975F3">
        <w:rPr>
          <w:sz w:val="20"/>
          <w:szCs w:val="20"/>
        </w:rPr>
        <w:t>Activity Report (2001-2015)</w:t>
      </w:r>
    </w:p>
    <w:p w14:paraId="749516A4" w14:textId="00ED9C0C" w:rsidR="00501996" w:rsidRDefault="00501996" w:rsidP="00EB2681">
      <w:pPr>
        <w:pStyle w:val="texto"/>
        <w:tabs>
          <w:tab w:val="left" w:pos="3872"/>
        </w:tabs>
        <w:rPr>
          <w:rStyle w:val="citedauthor"/>
        </w:rPr>
      </w:pPr>
    </w:p>
    <w:p w14:paraId="368835BA" w14:textId="1B535AA6" w:rsidR="007E7052" w:rsidRDefault="007E7052" w:rsidP="00EB2681">
      <w:pPr>
        <w:pStyle w:val="texto"/>
        <w:tabs>
          <w:tab w:val="left" w:pos="3872"/>
        </w:tabs>
        <w:rPr>
          <w:rStyle w:val="citedauthor"/>
        </w:rPr>
      </w:pPr>
    </w:p>
    <w:p w14:paraId="67C94661" w14:textId="77777777" w:rsidR="007E7052" w:rsidRDefault="007E7052" w:rsidP="00EB2681">
      <w:pPr>
        <w:pStyle w:val="texto"/>
        <w:tabs>
          <w:tab w:val="left" w:pos="3872"/>
        </w:tabs>
        <w:rPr>
          <w:rStyle w:val="citedauthor"/>
        </w:rPr>
      </w:pPr>
    </w:p>
    <w:p w14:paraId="7AD10F22" w14:textId="2381FD3E" w:rsidR="002A0939" w:rsidRDefault="002A0939" w:rsidP="002A0939">
      <w:pPr>
        <w:pStyle w:val="Heading2"/>
        <w:rPr>
          <w:rStyle w:val="citedauthor"/>
        </w:rPr>
      </w:pPr>
      <w:r w:rsidRPr="00C66EC8">
        <w:rPr>
          <w:rStyle w:val="citedauthor"/>
        </w:rPr>
        <w:lastRenderedPageBreak/>
        <w:t>Qualitative analysis</w:t>
      </w:r>
    </w:p>
    <w:p w14:paraId="520FDC26" w14:textId="319146BE" w:rsidR="00A46E8B" w:rsidRDefault="00A46E8B" w:rsidP="00A46E8B">
      <w:pPr>
        <w:pStyle w:val="texto"/>
      </w:pPr>
      <w:r>
        <w:t xml:space="preserve">A strong argument used by the </w:t>
      </w:r>
      <w:r w:rsidRPr="00892F9B">
        <w:rPr>
          <w:noProof/>
        </w:rPr>
        <w:t>Brazilian</w:t>
      </w:r>
      <w:r>
        <w:t xml:space="preserve"> government to invest in the pre-salt field is that the wealthy from the exploration would contribute to </w:t>
      </w:r>
      <w:r w:rsidR="00FD06FC">
        <w:rPr>
          <w:noProof/>
        </w:rPr>
        <w:t>strenght</w:t>
      </w:r>
      <w:r w:rsidR="00FD06FC">
        <w:t xml:space="preserve"> the economy, reducing</w:t>
      </w:r>
      <w:r>
        <w:t xml:space="preserve"> inequalities and increas</w:t>
      </w:r>
      <w:r w:rsidR="00FD06FC">
        <w:t>ing</w:t>
      </w:r>
      <w:r>
        <w:t xml:space="preserve"> income </w:t>
      </w:r>
      <w:r w:rsidRPr="00FA7B1D">
        <w:t>(Lobao, 2009)</w:t>
      </w:r>
      <w:r>
        <w:t xml:space="preserve">. Therefore, royalties from the pre-salt would work </w:t>
      </w:r>
      <w:r w:rsidR="006A4803">
        <w:t>toward</w:t>
      </w:r>
      <w:r>
        <w:t xml:space="preserve"> environmental justice. </w:t>
      </w:r>
    </w:p>
    <w:p w14:paraId="58B33AF7" w14:textId="46589C26" w:rsidR="00DD61E1" w:rsidRDefault="00F87704" w:rsidP="00A46E8B">
      <w:pPr>
        <w:pStyle w:val="texto"/>
        <w:rPr>
          <w:rStyle w:val="citedauthor"/>
        </w:rPr>
      </w:pPr>
      <w:r>
        <w:t xml:space="preserve">To evaluate whether </w:t>
      </w:r>
      <w:r w:rsidR="00DF7ABA">
        <w:t>financial benefits</w:t>
      </w:r>
      <w:r>
        <w:t xml:space="preserve"> from oil field was used for</w:t>
      </w:r>
      <w:r w:rsidR="007837E1">
        <w:t xml:space="preserve"> </w:t>
      </w:r>
      <w:r w:rsidRPr="007837E1">
        <w:rPr>
          <w:noProof/>
        </w:rPr>
        <w:t>social</w:t>
      </w:r>
      <w:r>
        <w:t xml:space="preserve"> purpose or </w:t>
      </w:r>
      <w:r w:rsidR="007837E1">
        <w:rPr>
          <w:rStyle w:val="citedauthor"/>
        </w:rPr>
        <w:t>to subsidize</w:t>
      </w:r>
      <w:r>
        <w:rPr>
          <w:rStyle w:val="citedauthor"/>
        </w:rPr>
        <w:t xml:space="preserve"> the development of other</w:t>
      </w:r>
      <w:r w:rsidR="00DF7ABA">
        <w:rPr>
          <w:rStyle w:val="citedauthor"/>
        </w:rPr>
        <w:t xml:space="preserve"> sources of</w:t>
      </w:r>
      <w:r>
        <w:rPr>
          <w:rStyle w:val="citedauthor"/>
        </w:rPr>
        <w:t xml:space="preserve"> renewable energy in the country, the analysis identified the destination for the </w:t>
      </w:r>
      <w:r w:rsidR="00DD61E1">
        <w:rPr>
          <w:rStyle w:val="citedauthor"/>
        </w:rPr>
        <w:t>royalties</w:t>
      </w:r>
      <w:r>
        <w:rPr>
          <w:rStyle w:val="citedauthor"/>
        </w:rPr>
        <w:t>.</w:t>
      </w:r>
      <w:r w:rsidR="00DD61E1">
        <w:rPr>
          <w:rStyle w:val="citedauthor"/>
        </w:rPr>
        <w:t xml:space="preserve"> </w:t>
      </w:r>
      <w:r w:rsidR="00DD61E1">
        <w:rPr>
          <w:rStyle w:val="citedauthor"/>
          <w:noProof/>
        </w:rPr>
        <w:t>It</w:t>
      </w:r>
      <w:r w:rsidR="00DD61E1">
        <w:rPr>
          <w:rStyle w:val="citedauthor"/>
        </w:rPr>
        <w:t xml:space="preserve"> was used as a </w:t>
      </w:r>
      <w:r w:rsidR="00DD61E1" w:rsidRPr="00DD61E1">
        <w:rPr>
          <w:rStyle w:val="citedauthor"/>
          <w:noProof/>
        </w:rPr>
        <w:t>base</w:t>
      </w:r>
      <w:r w:rsidR="00DD61E1">
        <w:rPr>
          <w:rStyle w:val="citedauthor"/>
          <w:noProof/>
        </w:rPr>
        <w:t>,</w:t>
      </w:r>
      <w:r w:rsidR="00DD61E1">
        <w:rPr>
          <w:rStyle w:val="citedauthor"/>
        </w:rPr>
        <w:t xml:space="preserve"> the Annual Activities Reports from Petrobras and also into the Brazilian legislation regarding the topic.</w:t>
      </w:r>
    </w:p>
    <w:p w14:paraId="253CC62A" w14:textId="349C59C4" w:rsidR="00C66EC8" w:rsidRDefault="00646C55" w:rsidP="00EB2681">
      <w:pPr>
        <w:pStyle w:val="texto"/>
        <w:tabs>
          <w:tab w:val="left" w:pos="3872"/>
        </w:tabs>
        <w:rPr>
          <w:rStyle w:val="citedauthor"/>
        </w:rPr>
      </w:pPr>
      <w:r>
        <w:rPr>
          <w:rStyle w:val="citedauthor"/>
        </w:rPr>
        <w:t>Each year, the oil company</w:t>
      </w:r>
      <w:r w:rsidR="00263C8E">
        <w:rPr>
          <w:rStyle w:val="citedauthor"/>
        </w:rPr>
        <w:t>, Petrobras,</w:t>
      </w:r>
      <w:r>
        <w:rPr>
          <w:rStyle w:val="citedauthor"/>
        </w:rPr>
        <w:t xml:space="preserve"> invest some of its </w:t>
      </w:r>
      <w:r w:rsidR="00DD61E1">
        <w:rPr>
          <w:rStyle w:val="citedauthor"/>
        </w:rPr>
        <w:t xml:space="preserve">financial </w:t>
      </w:r>
      <w:r>
        <w:rPr>
          <w:rStyle w:val="citedauthor"/>
        </w:rPr>
        <w:t xml:space="preserve">resources in social activities. They consist </w:t>
      </w:r>
      <w:r w:rsidR="00263C8E">
        <w:rPr>
          <w:rStyle w:val="citedauthor"/>
          <w:noProof/>
        </w:rPr>
        <w:t>of</w:t>
      </w:r>
      <w:r>
        <w:rPr>
          <w:rStyle w:val="citedauthor"/>
        </w:rPr>
        <w:t xml:space="preserve"> punctual projects where they transfer money to </w:t>
      </w:r>
      <w:r w:rsidRPr="00263C8E">
        <w:rPr>
          <w:rStyle w:val="citedauthor"/>
          <w:noProof/>
        </w:rPr>
        <w:t>associations</w:t>
      </w:r>
      <w:r>
        <w:rPr>
          <w:rStyle w:val="citedauthor"/>
        </w:rPr>
        <w:t xml:space="preserve"> and subsidize cultural and sports activities. There are also some environmental educational projects for kids</w:t>
      </w:r>
      <w:r w:rsidR="00263C8E">
        <w:rPr>
          <w:rStyle w:val="citedauthor"/>
        </w:rPr>
        <w:t>, b</w:t>
      </w:r>
      <w:r>
        <w:rPr>
          <w:rStyle w:val="citedauthor"/>
        </w:rPr>
        <w:t xml:space="preserve">ut there is no specification regarding </w:t>
      </w:r>
      <w:r w:rsidRPr="00263C8E">
        <w:rPr>
          <w:rStyle w:val="citedauthor"/>
          <w:noProof/>
        </w:rPr>
        <w:t>subsidiz</w:t>
      </w:r>
      <w:r w:rsidR="00263C8E" w:rsidRPr="00263C8E">
        <w:rPr>
          <w:rStyle w:val="citedauthor"/>
          <w:noProof/>
        </w:rPr>
        <w:t>ing</w:t>
      </w:r>
      <w:r>
        <w:rPr>
          <w:rStyle w:val="citedauthor"/>
        </w:rPr>
        <w:t xml:space="preserve"> new renewable technologies.</w:t>
      </w:r>
    </w:p>
    <w:p w14:paraId="3C36FD20" w14:textId="4F30F1C4" w:rsidR="00263C8E" w:rsidRDefault="00646C55" w:rsidP="00263C8E">
      <w:pPr>
        <w:pStyle w:val="texto"/>
        <w:tabs>
          <w:tab w:val="left" w:pos="3872"/>
        </w:tabs>
        <w:rPr>
          <w:rStyle w:val="citedauthor"/>
        </w:rPr>
      </w:pPr>
      <w:r>
        <w:rPr>
          <w:rStyle w:val="citedauthor"/>
        </w:rPr>
        <w:t>Brazilian government</w:t>
      </w:r>
      <w:r w:rsidR="006510CB">
        <w:rPr>
          <w:rStyle w:val="citedauthor"/>
        </w:rPr>
        <w:t xml:space="preserve"> </w:t>
      </w:r>
      <w:r w:rsidR="006510CB" w:rsidRPr="00263C8E">
        <w:rPr>
          <w:rStyle w:val="citedauthor"/>
          <w:noProof/>
        </w:rPr>
        <w:t>receive</w:t>
      </w:r>
      <w:r w:rsidR="00263C8E">
        <w:rPr>
          <w:rStyle w:val="citedauthor"/>
          <w:noProof/>
        </w:rPr>
        <w:t>s</w:t>
      </w:r>
      <w:r w:rsidR="006510CB">
        <w:rPr>
          <w:rStyle w:val="citedauthor"/>
        </w:rPr>
        <w:t xml:space="preserve"> from the fossil fuel extraction royalties, which correspond to 10% of the oil and gas production (Federal Brazilian Law 9478 of 1997). The </w:t>
      </w:r>
      <w:r w:rsidR="00DD61E1">
        <w:rPr>
          <w:rStyle w:val="citedauthor"/>
        </w:rPr>
        <w:t>royalities are</w:t>
      </w:r>
      <w:r w:rsidR="006510CB">
        <w:rPr>
          <w:rStyle w:val="citedauthor"/>
        </w:rPr>
        <w:t xml:space="preserve"> shared between the Federal Government, State and municipal </w:t>
      </w:r>
      <w:r w:rsidR="00DD61E1">
        <w:rPr>
          <w:rStyle w:val="citedauthor"/>
        </w:rPr>
        <w:t>level</w:t>
      </w:r>
      <w:r w:rsidR="006510CB">
        <w:rPr>
          <w:rStyle w:val="citedauthor"/>
        </w:rPr>
        <w:t xml:space="preserve"> in which there </w:t>
      </w:r>
      <w:r w:rsidR="00DD61E1">
        <w:rPr>
          <w:rStyle w:val="citedauthor"/>
          <w:noProof/>
        </w:rPr>
        <w:t>is</w:t>
      </w:r>
      <w:r w:rsidR="006510CB">
        <w:rPr>
          <w:rStyle w:val="citedauthor"/>
        </w:rPr>
        <w:t xml:space="preserve"> the extraction. </w:t>
      </w:r>
      <w:r w:rsidR="00263C8E">
        <w:rPr>
          <w:rStyle w:val="citedauthor"/>
        </w:rPr>
        <w:t xml:space="preserve">States and municipalities are free to use the resources </w:t>
      </w:r>
      <w:r w:rsidR="00263C8E" w:rsidRPr="00263C8E">
        <w:rPr>
          <w:rStyle w:val="citedauthor"/>
          <w:noProof/>
        </w:rPr>
        <w:t>according</w:t>
      </w:r>
      <w:r w:rsidR="00263C8E">
        <w:rPr>
          <w:rStyle w:val="citedauthor"/>
          <w:noProof/>
        </w:rPr>
        <w:t xml:space="preserve"> to</w:t>
      </w:r>
      <w:r w:rsidR="00263C8E">
        <w:rPr>
          <w:rStyle w:val="citedauthor"/>
        </w:rPr>
        <w:t xml:space="preserve"> their needs. The Federal Government, before 2013, used the funds to compose the Fund of Municipal Participation (FPM – Fundo de Participacao Municipal), which is a resource sent to all cities in Brazil, in order to share the Federal revenue with the local government. </w:t>
      </w:r>
    </w:p>
    <w:p w14:paraId="75B7EA9D" w14:textId="19A7BCBA" w:rsidR="006510CB" w:rsidRDefault="006510CB" w:rsidP="006510CB">
      <w:pPr>
        <w:pStyle w:val="texto"/>
        <w:tabs>
          <w:tab w:val="left" w:pos="3872"/>
        </w:tabs>
        <w:rPr>
          <w:rStyle w:val="citedauthor"/>
        </w:rPr>
      </w:pPr>
      <w:r>
        <w:rPr>
          <w:rStyle w:val="citedauthor"/>
        </w:rPr>
        <w:t>In 2013 a new Federal Law (number 12858 of 2013) was approved to establish the share of the pre-salt’s royalties. In that, it was determined that all funds received by the Federal Government as royalties would be destined to a Social Fund</w:t>
      </w:r>
      <w:r w:rsidR="00795164">
        <w:rPr>
          <w:rStyle w:val="citedauthor"/>
        </w:rPr>
        <w:t xml:space="preserve"> (Fundo Social – FS)</w:t>
      </w:r>
      <w:r>
        <w:rPr>
          <w:rStyle w:val="citedauthor"/>
        </w:rPr>
        <w:t xml:space="preserve">. The money would be </w:t>
      </w:r>
      <w:r w:rsidR="006E2309">
        <w:rPr>
          <w:rStyle w:val="citedauthor"/>
        </w:rPr>
        <w:t>directed</w:t>
      </w:r>
      <w:r>
        <w:rPr>
          <w:rStyle w:val="citedauthor"/>
        </w:rPr>
        <w:t xml:space="preserve"> 75% </w:t>
      </w:r>
      <w:r w:rsidR="006E2309">
        <w:rPr>
          <w:rStyle w:val="citedauthor"/>
        </w:rPr>
        <w:t>for</w:t>
      </w:r>
      <w:r>
        <w:rPr>
          <w:rStyle w:val="citedauthor"/>
        </w:rPr>
        <w:t xml:space="preserve"> primary educatio</w:t>
      </w:r>
      <w:r w:rsidR="00370E0C">
        <w:rPr>
          <w:rStyle w:val="citedauthor"/>
        </w:rPr>
        <w:t xml:space="preserve">n and 25% for the public health in the local government. However, the money </w:t>
      </w:r>
      <w:r w:rsidR="00370E0C" w:rsidRPr="00263C8E">
        <w:rPr>
          <w:rStyle w:val="citedauthor"/>
          <w:noProof/>
        </w:rPr>
        <w:t>ha</w:t>
      </w:r>
      <w:r w:rsidR="00263C8E">
        <w:rPr>
          <w:rStyle w:val="citedauthor"/>
          <w:noProof/>
        </w:rPr>
        <w:t>s</w:t>
      </w:r>
      <w:r w:rsidR="00370E0C">
        <w:rPr>
          <w:rStyle w:val="citedauthor"/>
        </w:rPr>
        <w:t xml:space="preserve"> never been received</w:t>
      </w:r>
      <w:r w:rsidR="00263C8E">
        <w:rPr>
          <w:rStyle w:val="citedauthor"/>
        </w:rPr>
        <w:t xml:space="preserve"> for the cities</w:t>
      </w:r>
      <w:r w:rsidR="00370E0C">
        <w:rPr>
          <w:rStyle w:val="citedauthor"/>
        </w:rPr>
        <w:t xml:space="preserve"> because it was used </w:t>
      </w:r>
      <w:r w:rsidR="00370E0C">
        <w:rPr>
          <w:rStyle w:val="citedauthor"/>
        </w:rPr>
        <w:lastRenderedPageBreak/>
        <w:t xml:space="preserve">for the Education and Health Ministry. </w:t>
      </w:r>
      <w:r w:rsidR="00263C8E">
        <w:rPr>
          <w:rStyle w:val="citedauthor"/>
        </w:rPr>
        <w:t>In 2016</w:t>
      </w:r>
      <w:r w:rsidR="00370E0C">
        <w:rPr>
          <w:rStyle w:val="citedauthor"/>
        </w:rPr>
        <w:t xml:space="preserve">, </w:t>
      </w:r>
      <w:r w:rsidR="00471284">
        <w:rPr>
          <w:rStyle w:val="citedauthor"/>
        </w:rPr>
        <w:t xml:space="preserve">the State of Rio de Janeiro questioned in court the new share proposal of pre-salt royalties, since the state used to have a bigger percentage before the new law. Because of that, the financial resources </w:t>
      </w:r>
      <w:r w:rsidR="006E2309">
        <w:rPr>
          <w:rStyle w:val="citedauthor"/>
        </w:rPr>
        <w:t>are blocked</w:t>
      </w:r>
      <w:r w:rsidR="00471284">
        <w:rPr>
          <w:rStyle w:val="citedauthor"/>
        </w:rPr>
        <w:t xml:space="preserve"> until the judicial process is concluded.</w:t>
      </w:r>
    </w:p>
    <w:p w14:paraId="26928E09" w14:textId="1C65037F" w:rsidR="00263C8E" w:rsidRDefault="00795164" w:rsidP="006510CB">
      <w:pPr>
        <w:pStyle w:val="texto"/>
        <w:tabs>
          <w:tab w:val="left" w:pos="3872"/>
        </w:tabs>
        <w:rPr>
          <w:rStyle w:val="citedauthor"/>
          <w:noProof/>
        </w:rPr>
      </w:pPr>
      <w:r>
        <w:rPr>
          <w:rStyle w:val="citedauthor"/>
        </w:rPr>
        <w:t>The Social Fund was created through the Federal Law 12351 of</w:t>
      </w:r>
      <w:r w:rsidR="00263C8E">
        <w:rPr>
          <w:rStyle w:val="citedauthor"/>
        </w:rPr>
        <w:t xml:space="preserve"> the</w:t>
      </w:r>
      <w:r>
        <w:rPr>
          <w:rStyle w:val="citedauthor"/>
        </w:rPr>
        <w:t xml:space="preserve"> </w:t>
      </w:r>
      <w:r w:rsidRPr="00263C8E">
        <w:rPr>
          <w:rStyle w:val="citedauthor"/>
          <w:noProof/>
        </w:rPr>
        <w:t>2010</w:t>
      </w:r>
      <w:r>
        <w:rPr>
          <w:rStyle w:val="citedauthor"/>
        </w:rPr>
        <w:t xml:space="preserve"> year. It establishes that the financial resource of this fund is linked to the President, and aims to subsidize programs and projects related to education, culture, sport, public health, science and technology, natural environment, and mitigation actions for climate change adaptations (Federal Law 12351 of 2010). </w:t>
      </w:r>
      <w:r w:rsidRPr="00263C8E">
        <w:rPr>
          <w:rStyle w:val="citedauthor"/>
          <w:noProof/>
        </w:rPr>
        <w:t>Although the Fund exists</w:t>
      </w:r>
      <w:r w:rsidR="00263C8E" w:rsidRPr="00263C8E">
        <w:rPr>
          <w:rStyle w:val="citedauthor"/>
          <w:noProof/>
        </w:rPr>
        <w:t xml:space="preserve">, </w:t>
      </w:r>
      <w:r w:rsidR="00263C8E">
        <w:rPr>
          <w:rStyle w:val="citedauthor"/>
          <w:noProof/>
        </w:rPr>
        <w:t xml:space="preserve">no action according to its purpose </w:t>
      </w:r>
      <w:r w:rsidR="00263C8E" w:rsidRPr="00263C8E">
        <w:rPr>
          <w:rStyle w:val="citedauthor"/>
          <w:noProof/>
        </w:rPr>
        <w:t>ha</w:t>
      </w:r>
      <w:r w:rsidR="00263C8E">
        <w:rPr>
          <w:rStyle w:val="citedauthor"/>
          <w:noProof/>
        </w:rPr>
        <w:t>s never being funded.</w:t>
      </w:r>
    </w:p>
    <w:p w14:paraId="43DDDD5F" w14:textId="74B27DAF" w:rsidR="00D81BF6" w:rsidRDefault="00795164" w:rsidP="006510CB">
      <w:pPr>
        <w:pStyle w:val="texto"/>
        <w:tabs>
          <w:tab w:val="left" w:pos="3872"/>
        </w:tabs>
        <w:rPr>
          <w:rStyle w:val="citedauthor"/>
        </w:rPr>
      </w:pPr>
      <w:r>
        <w:rPr>
          <w:rStyle w:val="citedauthor"/>
        </w:rPr>
        <w:t>In conclusion</w:t>
      </w:r>
      <w:r w:rsidR="00CF5D1F">
        <w:rPr>
          <w:rStyle w:val="citedauthor"/>
        </w:rPr>
        <w:t xml:space="preserve">, there is no evidence that profits from oil extraction </w:t>
      </w:r>
      <w:r w:rsidR="00CF5D1F" w:rsidRPr="00263C8E">
        <w:rPr>
          <w:rStyle w:val="citedauthor"/>
          <w:noProof/>
        </w:rPr>
        <w:t>w</w:t>
      </w:r>
      <w:r w:rsidR="00263C8E">
        <w:rPr>
          <w:rStyle w:val="citedauthor"/>
          <w:noProof/>
        </w:rPr>
        <w:t>ere</w:t>
      </w:r>
      <w:r w:rsidR="00CF5D1F">
        <w:rPr>
          <w:rStyle w:val="citedauthor"/>
        </w:rPr>
        <w:t xml:space="preserve"> used to subsidize other renewable energies or technical studies that could promote climate change adaptations. Further, </w:t>
      </w:r>
      <w:r w:rsidR="00D81BF6">
        <w:rPr>
          <w:rStyle w:val="citedauthor"/>
        </w:rPr>
        <w:t>although Petrobras sponsors culture and</w:t>
      </w:r>
      <w:r w:rsidR="00CF5D1F">
        <w:rPr>
          <w:rStyle w:val="citedauthor"/>
        </w:rPr>
        <w:t xml:space="preserve"> </w:t>
      </w:r>
      <w:r w:rsidR="00CF5D1F" w:rsidRPr="00263C8E">
        <w:rPr>
          <w:rStyle w:val="citedauthor"/>
          <w:noProof/>
        </w:rPr>
        <w:t>sports</w:t>
      </w:r>
      <w:r w:rsidR="00D81BF6">
        <w:rPr>
          <w:rStyle w:val="citedauthor"/>
          <w:noProof/>
        </w:rPr>
        <w:t xml:space="preserve"> activites, as well as some </w:t>
      </w:r>
      <w:r w:rsidR="00D81BF6">
        <w:rPr>
          <w:rStyle w:val="citedauthor"/>
        </w:rPr>
        <w:t xml:space="preserve">small associations, those actions are an </w:t>
      </w:r>
      <w:r w:rsidR="00D81BF6" w:rsidRPr="00263C8E">
        <w:rPr>
          <w:rStyle w:val="citedauthor"/>
          <w:noProof/>
        </w:rPr>
        <w:t>example</w:t>
      </w:r>
      <w:r w:rsidR="00D81BF6">
        <w:rPr>
          <w:rStyle w:val="citedauthor"/>
        </w:rPr>
        <w:t xml:space="preserve"> of social responsibility made by the Company, but they do not serve to promote environmental justice. </w:t>
      </w:r>
    </w:p>
    <w:p w14:paraId="54BC2472" w14:textId="527CB20F" w:rsidR="002A0939" w:rsidRDefault="002A0939" w:rsidP="002A0939">
      <w:pPr>
        <w:pStyle w:val="Heading2"/>
        <w:rPr>
          <w:rStyle w:val="citedauthor"/>
        </w:rPr>
      </w:pPr>
      <w:r>
        <w:rPr>
          <w:rStyle w:val="citedauthor"/>
        </w:rPr>
        <w:t xml:space="preserve">Quantitative analysis </w:t>
      </w:r>
    </w:p>
    <w:p w14:paraId="1D1A6826" w14:textId="33C5B150" w:rsidR="00BF7113" w:rsidRDefault="002A0939" w:rsidP="00184E83">
      <w:pPr>
        <w:pStyle w:val="texto"/>
        <w:tabs>
          <w:tab w:val="left" w:pos="3872"/>
        </w:tabs>
        <w:rPr>
          <w:rStyle w:val="citedauthor"/>
        </w:rPr>
      </w:pPr>
      <w:r>
        <w:rPr>
          <w:rStyle w:val="citedauthor"/>
        </w:rPr>
        <w:t xml:space="preserve">In </w:t>
      </w:r>
      <w:r w:rsidR="00BF7113">
        <w:rPr>
          <w:rStyle w:val="citedauthor"/>
        </w:rPr>
        <w:t>the quantitative</w:t>
      </w:r>
      <w:r>
        <w:rPr>
          <w:rStyle w:val="citedauthor"/>
        </w:rPr>
        <w:t xml:space="preserve"> </w:t>
      </w:r>
      <w:r w:rsidR="00263C8E">
        <w:rPr>
          <w:rStyle w:val="citedauthor"/>
          <w:noProof/>
        </w:rPr>
        <w:t>analysis, there are two variables: population benefit and oil results.</w:t>
      </w:r>
      <w:r>
        <w:rPr>
          <w:rStyle w:val="citedauthor"/>
        </w:rPr>
        <w:t xml:space="preserve"> </w:t>
      </w:r>
      <w:r w:rsidR="00263C8E" w:rsidRPr="00263C8E">
        <w:rPr>
          <w:rStyle w:val="citedauthor"/>
          <w:noProof/>
        </w:rPr>
        <w:t>T</w:t>
      </w:r>
      <w:r w:rsidRPr="00263C8E">
        <w:rPr>
          <w:rStyle w:val="citedauthor"/>
          <w:noProof/>
        </w:rPr>
        <w:t>he</w:t>
      </w:r>
      <w:r>
        <w:rPr>
          <w:rStyle w:val="citedauthor"/>
        </w:rPr>
        <w:t xml:space="preserve"> ‘population benefit’ is measured by the average gasoline</w:t>
      </w:r>
      <w:r w:rsidR="00066871">
        <w:rPr>
          <w:rStyle w:val="citedauthor"/>
        </w:rPr>
        <w:t xml:space="preserve"> pump</w:t>
      </w:r>
      <w:r>
        <w:rPr>
          <w:rStyle w:val="citedauthor"/>
        </w:rPr>
        <w:t xml:space="preserve"> </w:t>
      </w:r>
      <w:r w:rsidRPr="00184E83">
        <w:rPr>
          <w:rStyle w:val="citedauthor"/>
          <w:noProof/>
        </w:rPr>
        <w:t>price/year</w:t>
      </w:r>
      <w:r w:rsidR="00DA4C0F">
        <w:rPr>
          <w:rStyle w:val="citedauthor"/>
          <w:noProof/>
        </w:rPr>
        <w:t xml:space="preserve">, which is </w:t>
      </w:r>
      <w:r w:rsidR="005E2FBF">
        <w:rPr>
          <w:rStyle w:val="citedauthor"/>
          <w:noProof/>
        </w:rPr>
        <w:t>regulated</w:t>
      </w:r>
      <w:r w:rsidR="00DA4C0F">
        <w:rPr>
          <w:rStyle w:val="citedauthor"/>
          <w:noProof/>
        </w:rPr>
        <w:t xml:space="preserve"> by the Brazilian government.</w:t>
      </w:r>
      <w:r w:rsidR="00184E83">
        <w:rPr>
          <w:rStyle w:val="citedauthor"/>
        </w:rPr>
        <w:t xml:space="preserve"> The ‘oil results’ is measured by the number of barrels of oil produced per year. </w:t>
      </w:r>
      <w:r w:rsidR="00BF7113">
        <w:rPr>
          <w:rStyle w:val="citedauthor"/>
        </w:rPr>
        <w:t xml:space="preserve">Both variables were compared using their percentage change in relation to the previous year. </w:t>
      </w:r>
      <w:r w:rsidR="00184E83">
        <w:rPr>
          <w:rStyle w:val="citedauthor"/>
        </w:rPr>
        <w:t>The data considered values from 2002 to 2015</w:t>
      </w:r>
      <w:r w:rsidR="00BF7113">
        <w:rPr>
          <w:rStyle w:val="citedauthor"/>
        </w:rPr>
        <w:t>, which encompasses information before and after pre-salt. Petrobras (Brazilian oil company) and National Oil Agency (ANP – Agencia Nacional do Petroleo) served as a source for th database.</w:t>
      </w:r>
    </w:p>
    <w:p w14:paraId="3CC535D9" w14:textId="77777777" w:rsidR="004E0E88" w:rsidRDefault="003A47A9" w:rsidP="004E0E88">
      <w:pPr>
        <w:pStyle w:val="texto"/>
        <w:tabs>
          <w:tab w:val="left" w:pos="3872"/>
        </w:tabs>
        <w:rPr>
          <w:rStyle w:val="citedauthor"/>
        </w:rPr>
      </w:pPr>
      <w:r>
        <w:rPr>
          <w:rStyle w:val="citedauthor"/>
        </w:rPr>
        <w:t xml:space="preserve">Ross (2012) argues that in an economy without the ‘energy </w:t>
      </w:r>
      <w:r w:rsidRPr="00066871">
        <w:rPr>
          <w:rStyle w:val="citedauthor"/>
          <w:noProof/>
        </w:rPr>
        <w:t>curse</w:t>
      </w:r>
      <w:r w:rsidR="00066871">
        <w:rPr>
          <w:rStyle w:val="citedauthor"/>
          <w:noProof/>
        </w:rPr>
        <w:t>,'</w:t>
      </w:r>
      <w:r>
        <w:rPr>
          <w:rStyle w:val="citedauthor"/>
        </w:rPr>
        <w:t xml:space="preserve"> oil boosts the size of government revenues, which typically increases government benefit. Therefore, there is no </w:t>
      </w:r>
      <w:r>
        <w:rPr>
          <w:rStyle w:val="citedauthor"/>
        </w:rPr>
        <w:lastRenderedPageBreak/>
        <w:t>need to increase revenue through taxes, and governments can, in fact, decrease them (Ross, 2012).</w:t>
      </w:r>
      <w:r w:rsidR="005E2FBF">
        <w:rPr>
          <w:rStyle w:val="citedauthor"/>
        </w:rPr>
        <w:t xml:space="preserve"> Because Brazilian government regulates gasoline prices, </w:t>
      </w:r>
      <w:r w:rsidR="00BC27E6">
        <w:rPr>
          <w:rStyle w:val="citedauthor"/>
        </w:rPr>
        <w:t xml:space="preserve">oil results directly </w:t>
      </w:r>
      <w:r w:rsidR="00BC27E6" w:rsidRPr="00BC27E6">
        <w:rPr>
          <w:rStyle w:val="citedauthor"/>
          <w:noProof/>
        </w:rPr>
        <w:t>affect</w:t>
      </w:r>
      <w:r w:rsidR="00BC27E6">
        <w:rPr>
          <w:rStyle w:val="citedauthor"/>
        </w:rPr>
        <w:t xml:space="preserve"> ups and downs in the pump price in the country. Therefore, i</w:t>
      </w:r>
      <w:r w:rsidR="00744977">
        <w:rPr>
          <w:rStyle w:val="citedauthor"/>
        </w:rPr>
        <w:t xml:space="preserve">f H1 is not true, it is expected that the relationship between both variables is negative, following the ‘supply and demand </w:t>
      </w:r>
      <w:r w:rsidR="00744977" w:rsidRPr="00066871">
        <w:rPr>
          <w:rStyle w:val="citedauthor"/>
          <w:noProof/>
        </w:rPr>
        <w:t>law</w:t>
      </w:r>
      <w:r w:rsidR="00066871">
        <w:rPr>
          <w:rStyle w:val="citedauthor"/>
          <w:noProof/>
        </w:rPr>
        <w:t>.'</w:t>
      </w:r>
      <w:r w:rsidR="00744977">
        <w:rPr>
          <w:rStyle w:val="citedauthor"/>
        </w:rPr>
        <w:t xml:space="preserve"> </w:t>
      </w:r>
      <w:r w:rsidR="004E0E88">
        <w:rPr>
          <w:rStyle w:val="citedauthor"/>
        </w:rPr>
        <w:t xml:space="preserve">If the National Company is producing more oil, the average gasoline price of the country will decrease. However, if there is a positive relationship between the variables (oil production and average gasoline prices </w:t>
      </w:r>
      <w:r w:rsidR="004E0E88" w:rsidRPr="00066871">
        <w:rPr>
          <w:rStyle w:val="citedauthor"/>
          <w:noProof/>
        </w:rPr>
        <w:t>increase</w:t>
      </w:r>
      <w:r w:rsidR="004E0E88">
        <w:rPr>
          <w:rStyle w:val="citedauthor"/>
        </w:rPr>
        <w:t xml:space="preserve"> at the same time), it is an indication that H1 can be true. </w:t>
      </w:r>
    </w:p>
    <w:p w14:paraId="6C271180" w14:textId="74DB396C" w:rsidR="00D9434F" w:rsidRDefault="00D9434F" w:rsidP="00066871">
      <w:pPr>
        <w:pStyle w:val="texto"/>
        <w:tabs>
          <w:tab w:val="left" w:pos="3872"/>
        </w:tabs>
        <w:rPr>
          <w:rStyle w:val="citedauthor"/>
        </w:rPr>
      </w:pPr>
      <w:r w:rsidRPr="00D9434F">
        <w:rPr>
          <w:rStyle w:val="citedauthor"/>
          <w:noProof/>
        </w:rPr>
        <w:t>The data (</w:t>
      </w:r>
      <w:r w:rsidR="00953DA3" w:rsidRPr="00D9434F">
        <w:rPr>
          <w:rStyle w:val="citedauthor"/>
          <w:noProof/>
        </w:rPr>
        <w:fldChar w:fldCharType="begin"/>
      </w:r>
      <w:r w:rsidR="00953DA3" w:rsidRPr="00D9434F">
        <w:rPr>
          <w:rStyle w:val="citedauthor"/>
          <w:noProof/>
        </w:rPr>
        <w:instrText xml:space="preserve"> REF _Ref477797119 \h </w:instrText>
      </w:r>
      <w:r w:rsidR="00953DA3" w:rsidRPr="00D9434F">
        <w:rPr>
          <w:rStyle w:val="citedauthor"/>
          <w:noProof/>
        </w:rPr>
      </w:r>
      <w:r w:rsidR="00953DA3" w:rsidRPr="00D9434F">
        <w:rPr>
          <w:rStyle w:val="citedauthor"/>
          <w:noProof/>
        </w:rPr>
        <w:fldChar w:fldCharType="separate"/>
      </w:r>
      <w:r w:rsidR="00A22E4D" w:rsidRPr="00D9434F">
        <w:rPr>
          <w:noProof/>
        </w:rPr>
        <w:t>Chart 3</w:t>
      </w:r>
      <w:r w:rsidR="00953DA3" w:rsidRPr="00D9434F">
        <w:rPr>
          <w:rStyle w:val="citedauthor"/>
          <w:noProof/>
        </w:rPr>
        <w:fldChar w:fldCharType="end"/>
      </w:r>
      <w:r w:rsidRPr="00D9434F">
        <w:rPr>
          <w:rStyle w:val="citedauthor"/>
          <w:noProof/>
        </w:rPr>
        <w:t>)</w:t>
      </w:r>
      <w:r>
        <w:rPr>
          <w:rStyle w:val="citedauthor"/>
        </w:rPr>
        <w:t xml:space="preserve"> shows </w:t>
      </w:r>
      <w:r w:rsidR="00953DA3">
        <w:rPr>
          <w:rStyle w:val="citedauthor"/>
        </w:rPr>
        <w:t>that from 2002 to 2010 there was a negative relationship between gasoline pump price and average oil production. The result</w:t>
      </w:r>
      <w:r>
        <w:rPr>
          <w:rStyle w:val="citedauthor"/>
        </w:rPr>
        <w:t>s</w:t>
      </w:r>
      <w:r w:rsidR="00953DA3">
        <w:rPr>
          <w:rStyle w:val="citedauthor"/>
        </w:rPr>
        <w:t xml:space="preserve"> </w:t>
      </w:r>
      <w:r w:rsidR="00953DA3" w:rsidRPr="00D9434F">
        <w:rPr>
          <w:rStyle w:val="citedauthor"/>
          <w:noProof/>
        </w:rPr>
        <w:t>follows</w:t>
      </w:r>
      <w:r w:rsidR="00953DA3">
        <w:rPr>
          <w:rStyle w:val="citedauthor"/>
        </w:rPr>
        <w:t xml:space="preserve"> the supply and demand law. However, </w:t>
      </w:r>
      <w:r w:rsidR="00953DA3">
        <w:rPr>
          <w:rStyle w:val="citedauthor"/>
        </w:rPr>
        <w:fldChar w:fldCharType="begin"/>
      </w:r>
      <w:r w:rsidR="00953DA3">
        <w:rPr>
          <w:rStyle w:val="citedauthor"/>
        </w:rPr>
        <w:instrText xml:space="preserve"> REF _Ref477797119 \h </w:instrText>
      </w:r>
      <w:r w:rsidR="00953DA3">
        <w:rPr>
          <w:rStyle w:val="citedauthor"/>
        </w:rPr>
      </w:r>
      <w:r w:rsidR="00953DA3">
        <w:rPr>
          <w:rStyle w:val="citedauthor"/>
        </w:rPr>
        <w:fldChar w:fldCharType="separate"/>
      </w:r>
      <w:r w:rsidR="00A22E4D" w:rsidRPr="00163F73">
        <w:t xml:space="preserve">Chart </w:t>
      </w:r>
      <w:r w:rsidR="00A22E4D">
        <w:rPr>
          <w:noProof/>
        </w:rPr>
        <w:t>3</w:t>
      </w:r>
      <w:r w:rsidR="00953DA3">
        <w:rPr>
          <w:rStyle w:val="citedauthor"/>
        </w:rPr>
        <w:fldChar w:fldCharType="end"/>
      </w:r>
      <w:r w:rsidR="00953DA3">
        <w:rPr>
          <w:rStyle w:val="citedauthor"/>
        </w:rPr>
        <w:t xml:space="preserve"> shows an intriguing result after 2011. The relationship between the variables became positive. </w:t>
      </w:r>
      <w:r>
        <w:rPr>
          <w:rStyle w:val="citedauthor"/>
        </w:rPr>
        <w:t xml:space="preserve">The changed in the relationship between the variables occurred in the </w:t>
      </w:r>
      <w:r>
        <w:rPr>
          <w:rStyle w:val="citedauthor"/>
        </w:rPr>
        <w:t>year that the pre-salt oil entered into the</w:t>
      </w:r>
      <w:r w:rsidRPr="00066871">
        <w:rPr>
          <w:rStyle w:val="citedauthor"/>
          <w:noProof/>
        </w:rPr>
        <w:t xml:space="preserve"> national production.</w:t>
      </w:r>
      <w:r>
        <w:rPr>
          <w:rStyle w:val="citedauthor"/>
          <w:noProof/>
        </w:rPr>
        <w:t xml:space="preserve"> Therefore, </w:t>
      </w:r>
      <w:r>
        <w:rPr>
          <w:rStyle w:val="citedauthor"/>
        </w:rPr>
        <w:t>the ‘energy curse’ is likely.</w:t>
      </w:r>
    </w:p>
    <w:p w14:paraId="0A8A8FBF" w14:textId="020C35AB" w:rsidR="00B015BD" w:rsidRPr="00163F73" w:rsidRDefault="00B015BD" w:rsidP="00B015BD">
      <w:pPr>
        <w:pStyle w:val="Caption"/>
      </w:pPr>
      <w:bookmarkStart w:id="3" w:name="_Ref477797119"/>
      <w:r w:rsidRPr="00163F73">
        <w:t xml:space="preserve">Chart </w:t>
      </w:r>
      <w:r>
        <w:fldChar w:fldCharType="begin"/>
      </w:r>
      <w:r w:rsidRPr="00163F73">
        <w:instrText xml:space="preserve"> SEQ Chart \* ARABIC </w:instrText>
      </w:r>
      <w:r>
        <w:fldChar w:fldCharType="separate"/>
      </w:r>
      <w:r w:rsidR="00A22E4D">
        <w:rPr>
          <w:noProof/>
        </w:rPr>
        <w:t>3</w:t>
      </w:r>
      <w:r>
        <w:rPr>
          <w:noProof/>
        </w:rPr>
        <w:fldChar w:fldCharType="end"/>
      </w:r>
      <w:bookmarkEnd w:id="3"/>
      <w:r w:rsidRPr="00163F73">
        <w:t xml:space="preserve">. </w:t>
      </w:r>
      <w:r w:rsidR="00BC4E99">
        <w:t>Relationship between percentage increase/decrease from the previous year between gasoline pump price and average barrels of oil produced 2002-2015</w:t>
      </w:r>
    </w:p>
    <w:p w14:paraId="1B2C39A5" w14:textId="3459BEA7" w:rsidR="00501996" w:rsidRDefault="00501996" w:rsidP="002A0939">
      <w:pPr>
        <w:pStyle w:val="texto"/>
        <w:tabs>
          <w:tab w:val="left" w:pos="3872"/>
        </w:tabs>
        <w:rPr>
          <w:rStyle w:val="citedauthor"/>
        </w:rPr>
      </w:pPr>
      <w:r>
        <w:rPr>
          <w:noProof/>
        </w:rPr>
        <w:drawing>
          <wp:inline distT="0" distB="0" distL="0" distR="0" wp14:anchorId="71F3EE72" wp14:editId="5C04A9E4">
            <wp:extent cx="4895850" cy="253365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8C15741" w14:textId="14211E86" w:rsidR="00B015BD" w:rsidRDefault="00B015BD" w:rsidP="00CF5D1F">
      <w:pPr>
        <w:pStyle w:val="texto"/>
        <w:tabs>
          <w:tab w:val="left" w:pos="7800"/>
        </w:tabs>
        <w:rPr>
          <w:sz w:val="20"/>
          <w:szCs w:val="20"/>
        </w:rPr>
      </w:pPr>
      <w:r w:rsidRPr="008975F3">
        <w:rPr>
          <w:sz w:val="20"/>
          <w:szCs w:val="20"/>
        </w:rPr>
        <w:t>Source: Petrobras Activity Report (2002-2015) and National Oil Agency (ANP)</w:t>
      </w:r>
    </w:p>
    <w:p w14:paraId="79D1A662" w14:textId="7E591E07" w:rsidR="00CF5D1F" w:rsidRDefault="00CF5D1F" w:rsidP="00CF5D1F">
      <w:pPr>
        <w:pStyle w:val="texto"/>
        <w:tabs>
          <w:tab w:val="left" w:pos="7800"/>
        </w:tabs>
        <w:rPr>
          <w:sz w:val="20"/>
          <w:szCs w:val="20"/>
        </w:rPr>
      </w:pPr>
    </w:p>
    <w:p w14:paraId="3BE1FDD6" w14:textId="06D13F7C" w:rsidR="00D9434F" w:rsidRDefault="00D9434F" w:rsidP="00CF5D1F">
      <w:pPr>
        <w:pStyle w:val="texto"/>
        <w:tabs>
          <w:tab w:val="left" w:pos="7800"/>
        </w:tabs>
        <w:rPr>
          <w:sz w:val="20"/>
          <w:szCs w:val="20"/>
        </w:rPr>
      </w:pPr>
    </w:p>
    <w:p w14:paraId="247D254E" w14:textId="77777777" w:rsidR="00D9434F" w:rsidRDefault="00D9434F" w:rsidP="00CF5D1F">
      <w:pPr>
        <w:pStyle w:val="texto"/>
        <w:tabs>
          <w:tab w:val="left" w:pos="7800"/>
        </w:tabs>
        <w:rPr>
          <w:sz w:val="20"/>
          <w:szCs w:val="20"/>
        </w:rPr>
      </w:pPr>
    </w:p>
    <w:p w14:paraId="14803E87" w14:textId="52DA0AED" w:rsidR="00D557E3" w:rsidRPr="00CF5D1F" w:rsidRDefault="00D557E3" w:rsidP="00CF5D1F">
      <w:pPr>
        <w:pStyle w:val="Heading1"/>
        <w:rPr>
          <w:rStyle w:val="citedauthor"/>
        </w:rPr>
      </w:pPr>
      <w:r w:rsidRPr="00CF5D1F">
        <w:rPr>
          <w:rStyle w:val="citedauthor"/>
        </w:rPr>
        <w:lastRenderedPageBreak/>
        <w:t>H2. New hydroelectrics in Amazon region impacts environmental justice</w:t>
      </w:r>
    </w:p>
    <w:p w14:paraId="6D7EE82D" w14:textId="07C2CAC5" w:rsidR="00232636" w:rsidRDefault="00232636" w:rsidP="00232636">
      <w:pPr>
        <w:pStyle w:val="texto"/>
        <w:rPr>
          <w:rStyle w:val="citedauthor"/>
        </w:rPr>
      </w:pPr>
      <w:r>
        <w:rPr>
          <w:rStyle w:val="citedauthor"/>
        </w:rPr>
        <w:t xml:space="preserve">Environmental justice covers many other different concepts of justice </w:t>
      </w:r>
      <w:r w:rsidRPr="00482399">
        <w:rPr>
          <w:rStyle w:val="citedauthor"/>
        </w:rPr>
        <w:t xml:space="preserve">simultaneously </w:t>
      </w:r>
      <w:r w:rsidRPr="00482399">
        <w:rPr>
          <w:rStyle w:val="citedauthor"/>
        </w:rPr>
        <w:fldChar w:fldCharType="begin"/>
      </w:r>
      <w:r w:rsidRPr="00482399">
        <w:rPr>
          <w:rStyle w:val="citedauthor"/>
        </w:rPr>
        <w:instrText xml:space="preserve"> ADDIN EN.CITE &lt;EndNote&gt;&lt;Cite&gt;&lt;Author&gt;Schlosberg&lt;/Author&gt;&lt;Year&gt;2009&lt;/Year&gt;&lt;RecNum&gt;64&lt;/RecNum&gt;&lt;DisplayText&gt;(Schlosberg, 2009)&lt;/DisplayText&gt;&lt;record&gt;&lt;rec-number&gt;64&lt;/rec-number&gt;&lt;foreign-keys&gt;&lt;key app="EN" db-id="0pv0svx92d9at8efs26vverg2txfvd9pef99" timestamp="1480891079"&gt;64&lt;/key&gt;&lt;/foreign-keys&gt;&lt;ref-type name="Book"&gt;6&lt;/ref-type&gt;&lt;contributors&gt;&lt;authors&gt;&lt;author&gt;Schlosberg, David&lt;/author&gt;&lt;/authors&gt;&lt;/contributors&gt;&lt;titles&gt;&lt;title&gt;Defining environmental justice: Theories, movements, and nature&lt;/title&gt;&lt;/titles&gt;&lt;dates&gt;&lt;year&gt;2009&lt;/year&gt;&lt;/dates&gt;&lt;publisher&gt;Oxford University Press&lt;/publisher&gt;&lt;isbn&gt;0199562482&lt;/isbn&gt;&lt;urls&gt;&lt;/urls&gt;&lt;/record&gt;&lt;/Cite&gt;&lt;/EndNote&gt;</w:instrText>
      </w:r>
      <w:r w:rsidRPr="00482399">
        <w:rPr>
          <w:rStyle w:val="citedauthor"/>
        </w:rPr>
        <w:fldChar w:fldCharType="separate"/>
      </w:r>
      <w:r w:rsidRPr="00482399">
        <w:rPr>
          <w:rStyle w:val="citedauthor"/>
          <w:noProof/>
        </w:rPr>
        <w:t>(Schlosberg, 2009)</w:t>
      </w:r>
      <w:r w:rsidRPr="00482399">
        <w:rPr>
          <w:rStyle w:val="citedauthor"/>
        </w:rPr>
        <w:fldChar w:fldCharType="end"/>
      </w:r>
      <w:r w:rsidRPr="00482399">
        <w:rPr>
          <w:rStyle w:val="citedauthor"/>
        </w:rPr>
        <w:t xml:space="preserve">. </w:t>
      </w:r>
      <w:r>
        <w:rPr>
          <w:rStyle w:val="citedauthor"/>
        </w:rPr>
        <w:t xml:space="preserve">Therefore, it </w:t>
      </w:r>
      <w:r w:rsidRPr="002729BC">
        <w:rPr>
          <w:rStyle w:val="citedauthor"/>
        </w:rPr>
        <w:t xml:space="preserve">aims to address equity including social and ecological dimension, avoiding destruction of nature, culture and promoting democratic participation in planning development </w:t>
      </w:r>
      <w:r w:rsidRPr="002729BC">
        <w:rPr>
          <w:rStyle w:val="citedauthor"/>
        </w:rPr>
        <w:fldChar w:fldCharType="begin"/>
      </w:r>
      <w:r w:rsidRPr="002729BC">
        <w:rPr>
          <w:rStyle w:val="citedauthor"/>
        </w:rPr>
        <w:instrText xml:space="preserve"> ADDIN EN.CITE &lt;EndNote&gt;&lt;Cite&gt;&lt;Author&gt;Schlosberg&lt;/Author&gt;&lt;Year&gt;2009&lt;/Year&gt;&lt;RecNum&gt;64&lt;/RecNum&gt;&lt;DisplayText&gt;(Schlosberg, 2009)&lt;/DisplayText&gt;&lt;record&gt;&lt;rec-number&gt;64&lt;/rec-number&gt;&lt;foreign-keys&gt;&lt;key app="EN" db-id="0pv0svx92d9at8efs26vverg2txfvd9pef99" timestamp="1480891079"&gt;64&lt;/key&gt;&lt;/foreign-keys&gt;&lt;ref-type name="Book"&gt;6&lt;/ref-type&gt;&lt;contributors&gt;&lt;authors&gt;&lt;author&gt;Schlosberg, David&lt;/author&gt;&lt;/authors&gt;&lt;/contributors&gt;&lt;titles&gt;&lt;title&gt;Defining environmental justice: Theories, movements, and nature&lt;/title&gt;&lt;/titles&gt;&lt;dates&gt;&lt;year&gt;2009&lt;/year&gt;&lt;/dates&gt;&lt;publisher&gt;Oxford University Press&lt;/publisher&gt;&lt;isbn&gt;0199562482&lt;/isbn&gt;&lt;urls&gt;&lt;/urls&gt;&lt;/record&gt;&lt;/Cite&gt;&lt;/EndNote&gt;</w:instrText>
      </w:r>
      <w:r w:rsidRPr="002729BC">
        <w:rPr>
          <w:rStyle w:val="citedauthor"/>
        </w:rPr>
        <w:fldChar w:fldCharType="separate"/>
      </w:r>
      <w:r w:rsidRPr="002729BC">
        <w:rPr>
          <w:rStyle w:val="citedauthor"/>
          <w:noProof/>
        </w:rPr>
        <w:t>(Schlosberg, 2009)</w:t>
      </w:r>
      <w:r w:rsidRPr="002729BC">
        <w:rPr>
          <w:rStyle w:val="citedauthor"/>
        </w:rPr>
        <w:fldChar w:fldCharType="end"/>
      </w:r>
      <w:r w:rsidRPr="002729BC">
        <w:rPr>
          <w:rStyle w:val="citedauthor"/>
        </w:rPr>
        <w:t>.</w:t>
      </w:r>
      <w:r>
        <w:rPr>
          <w:rStyle w:val="citedauthor"/>
        </w:rPr>
        <w:t xml:space="preserve"> </w:t>
      </w:r>
      <w:r w:rsidRPr="00232636">
        <w:rPr>
          <w:rStyle w:val="citedauthor"/>
          <w:noProof/>
        </w:rPr>
        <w:t>According</w:t>
      </w:r>
      <w:r>
        <w:rPr>
          <w:rStyle w:val="citedauthor"/>
          <w:noProof/>
        </w:rPr>
        <w:t xml:space="preserve"> to</w:t>
      </w:r>
      <w:r w:rsidRPr="002729BC">
        <w:rPr>
          <w:rStyle w:val="citedauthor"/>
        </w:rPr>
        <w:t xml:space="preserve"> Schlosberg (2009), </w:t>
      </w:r>
      <w:r>
        <w:rPr>
          <w:rStyle w:val="citedauthor"/>
        </w:rPr>
        <w:t>it</w:t>
      </w:r>
      <w:r w:rsidRPr="002729BC">
        <w:rPr>
          <w:rStyle w:val="citedauthor"/>
        </w:rPr>
        <w:t xml:space="preserve"> also </w:t>
      </w:r>
      <w:r w:rsidRPr="00232636">
        <w:rPr>
          <w:rStyle w:val="citedauthor"/>
          <w:noProof/>
        </w:rPr>
        <w:t>include</w:t>
      </w:r>
      <w:r>
        <w:rPr>
          <w:rStyle w:val="citedauthor"/>
          <w:noProof/>
        </w:rPr>
        <w:t>s</w:t>
      </w:r>
      <w:r w:rsidRPr="002729BC">
        <w:rPr>
          <w:rStyle w:val="citedauthor"/>
        </w:rPr>
        <w:t xml:space="preserve"> indigenous population since they are calling for environmental and social justice and equity.</w:t>
      </w:r>
    </w:p>
    <w:p w14:paraId="05A22FEB" w14:textId="68FF9B13" w:rsidR="0043451F" w:rsidRPr="0043451F" w:rsidRDefault="0098045C" w:rsidP="0043451F">
      <w:pPr>
        <w:pStyle w:val="texto"/>
      </w:pPr>
      <w:r w:rsidRPr="0098045C">
        <w:rPr>
          <w:rStyle w:val="citedauthor"/>
          <w:noProof/>
        </w:rPr>
        <w:t>A qualitative approach was used to test H2, considering</w:t>
      </w:r>
      <w:r>
        <w:rPr>
          <w:rStyle w:val="citedauthor"/>
          <w:noProof/>
        </w:rPr>
        <w:t xml:space="preserve"> the</w:t>
      </w:r>
      <w:r w:rsidRPr="0098045C">
        <w:rPr>
          <w:rStyle w:val="citedauthor"/>
          <w:noProof/>
        </w:rPr>
        <w:t xml:space="preserve"> </w:t>
      </w:r>
      <w:r w:rsidRPr="0098045C">
        <w:rPr>
          <w:rStyle w:val="citedauthor"/>
          <w:noProof/>
        </w:rPr>
        <w:t>assessment</w:t>
      </w:r>
      <w:r>
        <w:rPr>
          <w:rStyle w:val="citedauthor"/>
        </w:rPr>
        <w:t xml:space="preserve"> of secondary data available, regarding the plans </w:t>
      </w:r>
      <w:r>
        <w:rPr>
          <w:rStyle w:val="citedauthor"/>
          <w:noProof/>
        </w:rPr>
        <w:t>for</w:t>
      </w:r>
      <w:r>
        <w:rPr>
          <w:rStyle w:val="citedauthor"/>
        </w:rPr>
        <w:t xml:space="preserve"> future</w:t>
      </w:r>
      <w:r>
        <w:rPr>
          <w:rStyle w:val="citedauthor"/>
        </w:rPr>
        <w:t xml:space="preserve"> electricity </w:t>
      </w:r>
      <w:r>
        <w:rPr>
          <w:rStyle w:val="citedauthor"/>
        </w:rPr>
        <w:t xml:space="preserve">generation </w:t>
      </w:r>
      <w:r>
        <w:rPr>
          <w:rStyle w:val="citedauthor"/>
        </w:rPr>
        <w:t xml:space="preserve">in Brazil and </w:t>
      </w:r>
      <w:r>
        <w:rPr>
          <w:rStyle w:val="citedauthor"/>
        </w:rPr>
        <w:t>its consequences.</w:t>
      </w:r>
      <w:r w:rsidRPr="0098045C">
        <w:t xml:space="preserve"> </w:t>
      </w:r>
      <w:r w:rsidRPr="001010FC">
        <w:t xml:space="preserve">Several countries have set targets for the growth of renewable energy sources to reduce their </w:t>
      </w:r>
      <w:r>
        <w:t xml:space="preserve">carbon </w:t>
      </w:r>
      <w:r w:rsidRPr="001010FC">
        <w:t>emissions and increase the security of energy supply.</w:t>
      </w:r>
      <w:r>
        <w:t xml:space="preserve"> </w:t>
      </w:r>
      <w:r w:rsidR="001010FC" w:rsidRPr="001010FC">
        <w:t xml:space="preserve">Although Brazil </w:t>
      </w:r>
      <w:r w:rsidR="00056D9D">
        <w:t xml:space="preserve">has already a clean </w:t>
      </w:r>
      <w:r>
        <w:t>electric matrix</w:t>
      </w:r>
      <w:r w:rsidR="00056D9D">
        <w:t xml:space="preserve"> </w:t>
      </w:r>
      <w:r>
        <w:t>because of</w:t>
      </w:r>
      <w:r w:rsidR="00056D9D">
        <w:t xml:space="preserve"> </w:t>
      </w:r>
      <w:r w:rsidR="001010FC" w:rsidRPr="001010FC">
        <w:t xml:space="preserve">hydropower, </w:t>
      </w:r>
      <w:r>
        <w:t xml:space="preserve">the country is resistant to diversify and </w:t>
      </w:r>
      <w:r w:rsidRPr="001010FC">
        <w:t xml:space="preserve">expand other sources of </w:t>
      </w:r>
      <w:r>
        <w:t>renewable</w:t>
      </w:r>
      <w:r>
        <w:t xml:space="preserve"> energy</w:t>
      </w:r>
      <w:r w:rsidR="00344D2C">
        <w:t xml:space="preserve">, despite its abundand potential for </w:t>
      </w:r>
      <w:r w:rsidR="00344D2C" w:rsidRPr="00344D2C">
        <w:rPr>
          <w:noProof/>
        </w:rPr>
        <w:t>wind</w:t>
      </w:r>
      <w:r w:rsidR="00344D2C" w:rsidRPr="001010FC">
        <w:t>, solar and biomass</w:t>
      </w:r>
      <w:r w:rsidR="0043451F">
        <w:t>.</w:t>
      </w:r>
    </w:p>
    <w:p w14:paraId="3395D10B" w14:textId="294AC870" w:rsidR="0098045C" w:rsidRDefault="0043451F" w:rsidP="001010FC">
      <w:pPr>
        <w:pStyle w:val="texto"/>
      </w:pPr>
      <w:r w:rsidRPr="001010FC">
        <w:t>The economic and social development of Brazil demands more and more electricity</w:t>
      </w:r>
      <w:r>
        <w:t>.</w:t>
      </w:r>
      <w:r w:rsidRPr="001010FC">
        <w:t xml:space="preserve"> The main solution adopted by Brazilian Government is to build more hydropower</w:t>
      </w:r>
      <w:r>
        <w:t xml:space="preserve">. The </w:t>
      </w:r>
      <w:r w:rsidRPr="00C137D5">
        <w:t xml:space="preserve">Ten-Years Energy Plan </w:t>
      </w:r>
      <w:r w:rsidRPr="00C137D5">
        <w:rPr>
          <w:i/>
        </w:rPr>
        <w:t>(Plano Decenal de Energia PDE)</w:t>
      </w:r>
      <w:r>
        <w:t xml:space="preserve"> argues that only 30% of the Brazilian hydropower capacity have been explored (</w:t>
      </w:r>
      <w:r>
        <w:rPr>
          <w:i/>
        </w:rPr>
        <w:t xml:space="preserve">Plano Nacional de Energia, 2040), </w:t>
      </w:r>
      <w:r>
        <w:t xml:space="preserve">and the remaining potential is </w:t>
      </w:r>
      <w:r>
        <w:rPr>
          <w:noProof/>
        </w:rPr>
        <w:t>o</w:t>
      </w:r>
      <w:r w:rsidRPr="00033D04">
        <w:rPr>
          <w:noProof/>
        </w:rPr>
        <w:t>n</w:t>
      </w:r>
      <w:r>
        <w:t xml:space="preserve"> Amazon region.</w:t>
      </w:r>
      <w:r w:rsidR="00BB7EE8" w:rsidRPr="00BB7EE8">
        <w:t xml:space="preserve"> </w:t>
      </w:r>
      <w:r w:rsidR="00BB7EE8">
        <w:t>The Brazilian Government has a proposal to deploy 23 hydropower there</w:t>
      </w:r>
      <w:r w:rsidR="00BB7EE8">
        <w:t xml:space="preserve">, which 7 are planned in untouched areas inside the forest. </w:t>
      </w:r>
      <w:r w:rsidR="00BB7EE8">
        <w:t xml:space="preserve">There are several </w:t>
      </w:r>
      <w:r w:rsidR="00BB7EE8" w:rsidRPr="006E743F">
        <w:t>technical, social and environmental limitations</w:t>
      </w:r>
      <w:r w:rsidR="00BB7EE8">
        <w:t xml:space="preserve"> surround the project. </w:t>
      </w:r>
      <w:r w:rsidR="00BB7EE8" w:rsidRPr="006E743F">
        <w:t>Grzybowski (2015) argues that:</w:t>
      </w:r>
    </w:p>
    <w:p w14:paraId="7F5F243E" w14:textId="7E1E4F31" w:rsidR="00310149" w:rsidRPr="001010FC" w:rsidRDefault="00BB7EE8" w:rsidP="00310149">
      <w:pPr>
        <w:pStyle w:val="NoSpacing"/>
        <w:spacing w:after="240"/>
        <w:ind w:left="720"/>
        <w:rPr>
          <w:lang w:val="en-US"/>
        </w:rPr>
      </w:pPr>
      <w:r w:rsidRPr="001010FC">
        <w:rPr>
          <w:lang w:val="en-US"/>
        </w:rPr>
        <w:t xml:space="preserve"> </w:t>
      </w:r>
      <w:r w:rsidR="00310149" w:rsidRPr="001010FC">
        <w:rPr>
          <w:lang w:val="en-US"/>
        </w:rPr>
        <w:t xml:space="preserve">“In the internal political debate, if it is not possible to implement the project of making the Amazon </w:t>
      </w:r>
      <w:r w:rsidR="00310149" w:rsidRPr="001010FC">
        <w:rPr>
          <w:noProof/>
          <w:lang w:val="en-US"/>
        </w:rPr>
        <w:t>a great</w:t>
      </w:r>
      <w:r w:rsidR="00310149" w:rsidRPr="001010FC">
        <w:rPr>
          <w:lang w:val="en-US"/>
        </w:rPr>
        <w:t xml:space="preserve"> supplier of “sustainable” electric power, the argument cried ou</w:t>
      </w:r>
      <w:r w:rsidR="00056D9D">
        <w:rPr>
          <w:lang w:val="en-US"/>
        </w:rPr>
        <w:t>t</w:t>
      </w:r>
      <w:r w:rsidR="00310149" w:rsidRPr="001010FC">
        <w:rPr>
          <w:lang w:val="en-US"/>
        </w:rPr>
        <w:t xml:space="preserve"> as a threat is that we will be forced to build more and more thermoelectrical plants. In practice, however, the construction rhythm of thermoelectrical plants in the country shows that the full steam development promoter’s priority strategy is this, regardless </w:t>
      </w:r>
      <w:r w:rsidR="00310149" w:rsidRPr="001010FC">
        <w:rPr>
          <w:noProof/>
          <w:lang w:val="en-US"/>
        </w:rPr>
        <w:t>of</w:t>
      </w:r>
      <w:r w:rsidR="00310149" w:rsidRPr="001010FC">
        <w:rPr>
          <w:lang w:val="en-US"/>
        </w:rPr>
        <w:t xml:space="preserve"> more or less hydroelectric power station” (Grzybowski, 2015, pp. 74-75)</w:t>
      </w:r>
    </w:p>
    <w:p w14:paraId="5C9FE453" w14:textId="158D4FC8" w:rsidR="00310149" w:rsidRPr="00702734" w:rsidRDefault="002F210C" w:rsidP="00310149">
      <w:pPr>
        <w:pStyle w:val="texto"/>
      </w:pPr>
      <w:r>
        <w:rPr>
          <w:noProof/>
        </w:rPr>
        <w:lastRenderedPageBreak/>
        <w:t xml:space="preserve">The </w:t>
      </w:r>
      <w:r w:rsidR="00056D9D" w:rsidRPr="002F210C">
        <w:rPr>
          <w:noProof/>
        </w:rPr>
        <w:t>Brazilian</w:t>
      </w:r>
      <w:r w:rsidR="00056D9D">
        <w:t xml:space="preserve"> government has stated hydroelectricity</w:t>
      </w:r>
      <w:r>
        <w:t xml:space="preserve"> in Amazon</w:t>
      </w:r>
      <w:r w:rsidR="00056D9D">
        <w:t xml:space="preserve"> as an alternative to </w:t>
      </w:r>
      <w:r w:rsidR="007850C4">
        <w:t>avoid the installation of</w:t>
      </w:r>
      <w:r w:rsidR="00056D9D">
        <w:t xml:space="preserve"> more</w:t>
      </w:r>
      <w:r w:rsidR="00056D9D" w:rsidRPr="00056D9D">
        <w:t xml:space="preserve"> </w:t>
      </w:r>
      <w:r w:rsidR="007850C4">
        <w:t xml:space="preserve">thermoelectrics (which has increased in the last ten years in </w:t>
      </w:r>
      <w:r w:rsidR="00A66A9D">
        <w:t>the country</w:t>
      </w:r>
      <w:r w:rsidR="007850C4">
        <w:t>)</w:t>
      </w:r>
      <w:r>
        <w:t>.</w:t>
      </w:r>
      <w:r w:rsidR="00056D9D">
        <w:t xml:space="preserve"> However, </w:t>
      </w:r>
      <w:r w:rsidR="00A66A9D">
        <w:t xml:space="preserve">the plan </w:t>
      </w:r>
      <w:r w:rsidR="00A66A9D" w:rsidRPr="0061588E">
        <w:rPr>
          <w:noProof/>
        </w:rPr>
        <w:t>constitute</w:t>
      </w:r>
      <w:r w:rsidR="0061588E">
        <w:rPr>
          <w:noProof/>
        </w:rPr>
        <w:t>s</w:t>
      </w:r>
      <w:r w:rsidR="00A66A9D">
        <w:t xml:space="preserve"> a paradox. </w:t>
      </w:r>
      <w:r w:rsidR="000863FB">
        <w:t xml:space="preserve">Although hydropower can generate clean energy, in the Amazon region </w:t>
      </w:r>
      <w:r w:rsidR="000863FB" w:rsidRPr="002F210C">
        <w:rPr>
          <w:noProof/>
        </w:rPr>
        <w:t>they</w:t>
      </w:r>
      <w:r>
        <w:rPr>
          <w:noProof/>
        </w:rPr>
        <w:t>, in fact,</w:t>
      </w:r>
      <w:r w:rsidR="000863FB">
        <w:t xml:space="preserve"> </w:t>
      </w:r>
      <w:r>
        <w:t>will</w:t>
      </w:r>
      <w:r w:rsidR="000863FB">
        <w:t xml:space="preserve"> also </w:t>
      </w:r>
      <w:r>
        <w:t>produce</w:t>
      </w:r>
      <w:r w:rsidR="000863FB">
        <w:t xml:space="preserve">: deforestation on the </w:t>
      </w:r>
      <w:r w:rsidR="0061588E">
        <w:t>power plant</w:t>
      </w:r>
      <w:r w:rsidR="000863FB">
        <w:t xml:space="preserve"> and transmission lines area; interruption of the fluvial system, changes in water quality; change in the ecosystem; proliferation of vectors and diseases; displacement of local population and land owners; threats to the right of native population their identity and culture </w:t>
      </w:r>
      <w:r w:rsidR="000863FB">
        <w:rPr>
          <w:rStyle w:val="citedauthor"/>
        </w:rPr>
        <w:fldChar w:fldCharType="begin"/>
      </w:r>
      <w:r w:rsidR="000863FB">
        <w:rPr>
          <w:rStyle w:val="citedauthor"/>
        </w:rPr>
        <w:instrText xml:space="preserve"> ADDIN EN.CITE &lt;EndNote&gt;&lt;Cite&gt;&lt;Author&gt;Schaeffer&lt;/Author&gt;&lt;Year&gt;2013&lt;/Year&gt;&lt;RecNum&gt;46&lt;/RecNum&gt;&lt;DisplayText&gt;(Schaeffer, Szklo, Lucena, Soria, &amp;amp; Chavez-Rodriguez, 2013)&lt;/DisplayText&gt;&lt;record&gt;&lt;rec-number&gt;46&lt;/rec-number&gt;&lt;foreign-keys&gt;&lt;key app="EN" db-id="0pv0svx92d9at8efs26vverg2txfvd9pef99" timestamp="1477003214"&gt;46&lt;/key&gt;&lt;/foreign-keys&gt;&lt;ref-type name="Journal Article"&gt;17&lt;/ref-type&gt;&lt;contributors&gt;&lt;authors&gt;&lt;author&gt;R. Schaeffer&lt;/author&gt;&lt;author&gt;A. Szklo&lt;/author&gt;&lt;author&gt;A. F. P. de Lucena&lt;/author&gt;&lt;author&gt;R. Soria&lt;/author&gt;&lt;author&gt;M. Chavez-Rodriguez&lt;/author&gt;&lt;/authors&gt;&lt;/contributors&gt;&lt;titles&gt;&lt;title&gt;The Vulnerable Amazon: The Impact of Climate Change on the Untapped Potential of Hydropower Systems&lt;/title&gt;&lt;secondary-title&gt;IEEE Power and Energy Magazine&lt;/secondary-title&gt;&lt;/titles&gt;&lt;periodical&gt;&lt;full-title&gt;IEEE Power and Energy Magazine&lt;/full-title&gt;&lt;/periodical&gt;&lt;pages&gt;22-31&lt;/pages&gt;&lt;volume&gt;11&lt;/volume&gt;&lt;number&gt;3&lt;/number&gt;&lt;keywords&gt;&lt;keyword&gt;climate mitigation&lt;/keyword&gt;&lt;keyword&gt;hydroelectric power&lt;/keyword&gt;&lt;keyword&gt;global climate change&lt;/keyword&gt;&lt;keyword&gt;hydropower production&lt;/keyword&gt;&lt;keyword&gt;hydropower systems&lt;/keyword&gt;&lt;keyword&gt;renewable-energy-based energy systems&lt;/keyword&gt;&lt;keyword&gt;vulnerable Amazon region&lt;/keyword&gt;&lt;keyword&gt;wind shear&lt;/keyword&gt;&lt;keyword&gt;Brazil&lt;/keyword&gt;&lt;keyword&gt;Energy management&lt;/keyword&gt;&lt;keyword&gt;Environmental factors&lt;/keyword&gt;&lt;keyword&gt;Global warming&lt;/keyword&gt;&lt;keyword&gt;Meteorology&lt;/keyword&gt;&lt;keyword&gt;Renewable energy resources&lt;/keyword&gt;&lt;keyword&gt;Social factors&lt;/keyword&gt;&lt;/keywords&gt;&lt;dates&gt;&lt;year&gt;2013&lt;/year&gt;&lt;/dates&gt;&lt;isbn&gt;1540-7977&lt;/isbn&gt;&lt;urls&gt;&lt;/urls&gt;&lt;electronic-resource-num&gt;10.1109/MPE.2013.2245584&lt;/electronic-resource-num&gt;&lt;/record&gt;&lt;/Cite&gt;&lt;/EndNote&gt;</w:instrText>
      </w:r>
      <w:r w:rsidR="000863FB">
        <w:rPr>
          <w:rStyle w:val="citedauthor"/>
        </w:rPr>
        <w:fldChar w:fldCharType="separate"/>
      </w:r>
      <w:r w:rsidR="000863FB">
        <w:rPr>
          <w:rStyle w:val="citedauthor"/>
          <w:noProof/>
        </w:rPr>
        <w:t>(Schaeffer, Szklo, Lucena, Soria, &amp; Chavez-Rodriguez, 2013)</w:t>
      </w:r>
      <w:r w:rsidR="000863FB">
        <w:rPr>
          <w:rStyle w:val="citedauthor"/>
        </w:rPr>
        <w:fldChar w:fldCharType="end"/>
      </w:r>
      <w:r w:rsidR="000863FB">
        <w:rPr>
          <w:rStyle w:val="citedauthor"/>
        </w:rPr>
        <w:t xml:space="preserve">. </w:t>
      </w:r>
      <w:r w:rsidR="0061588E">
        <w:rPr>
          <w:rStyle w:val="citedauthor"/>
        </w:rPr>
        <w:t xml:space="preserve">Furhter, </w:t>
      </w:r>
      <w:r w:rsidR="00310149" w:rsidRPr="00702734">
        <w:t xml:space="preserve">Brazilian energy matrix </w:t>
      </w:r>
      <w:r w:rsidR="00310149" w:rsidRPr="00892F9B">
        <w:rPr>
          <w:noProof/>
        </w:rPr>
        <w:t>needs</w:t>
      </w:r>
      <w:r w:rsidR="00310149" w:rsidRPr="00702734">
        <w:t xml:space="preserve"> diversification, but not giving room for expansion </w:t>
      </w:r>
      <w:r w:rsidR="00DC73B9">
        <w:t>of</w:t>
      </w:r>
      <w:r w:rsidR="00310149" w:rsidRPr="00702734">
        <w:t xml:space="preserve"> thermoelectric </w:t>
      </w:r>
      <w:r w:rsidR="00056D9D">
        <w:t>(coal</w:t>
      </w:r>
      <w:r w:rsidR="00DC73B9">
        <w:t xml:space="preserve">, </w:t>
      </w:r>
      <w:r w:rsidR="00DC73B9" w:rsidRPr="00285744">
        <w:rPr>
          <w:noProof/>
        </w:rPr>
        <w:t>oil</w:t>
      </w:r>
      <w:r w:rsidR="00DC73B9">
        <w:t xml:space="preserve"> and</w:t>
      </w:r>
      <w:r w:rsidR="00056D9D">
        <w:t xml:space="preserve"> natural gas) or</w:t>
      </w:r>
      <w:r w:rsidR="00310149" w:rsidRPr="00702734">
        <w:t xml:space="preserve"> nuclear power. The solution lies </w:t>
      </w:r>
      <w:r w:rsidR="00310149">
        <w:rPr>
          <w:noProof/>
        </w:rPr>
        <w:t>i</w:t>
      </w:r>
      <w:r w:rsidR="00310149" w:rsidRPr="00892F9B">
        <w:rPr>
          <w:noProof/>
        </w:rPr>
        <w:t>n</w:t>
      </w:r>
      <w:r w:rsidR="00310149" w:rsidRPr="00702734">
        <w:t xml:space="preserve"> other renewable sources and energy efficiency measures.</w:t>
      </w:r>
      <w:r w:rsidR="00310149">
        <w:t xml:space="preserve"> </w:t>
      </w:r>
      <w:r w:rsidR="00310149" w:rsidRPr="006E743F">
        <w:t>Grzybowski (2015) argues that:</w:t>
      </w:r>
    </w:p>
    <w:p w14:paraId="7D073943" w14:textId="77777777" w:rsidR="00310149" w:rsidRPr="001010FC" w:rsidRDefault="00310149" w:rsidP="00310149">
      <w:pPr>
        <w:pStyle w:val="NoSpacing"/>
        <w:spacing w:after="240"/>
        <w:ind w:left="720"/>
        <w:rPr>
          <w:lang w:val="en-US"/>
        </w:rPr>
      </w:pPr>
      <w:r w:rsidRPr="001010FC">
        <w:rPr>
          <w:lang w:val="en-US"/>
        </w:rPr>
        <w:t xml:space="preserve">“What is </w:t>
      </w:r>
      <w:r w:rsidRPr="001010FC">
        <w:rPr>
          <w:noProof/>
          <w:lang w:val="en-US"/>
        </w:rPr>
        <w:t>incredible</w:t>
      </w:r>
      <w:r w:rsidRPr="001010FC">
        <w:rPr>
          <w:lang w:val="en-US"/>
        </w:rPr>
        <w:t xml:space="preserve"> is that having twice the sunlight of Germany we are so reticent in using this gift of nature and strategically moving </w:t>
      </w:r>
      <w:r w:rsidRPr="001010FC">
        <w:rPr>
          <w:noProof/>
          <w:lang w:val="en-US"/>
        </w:rPr>
        <w:t>forward</w:t>
      </w:r>
      <w:r w:rsidRPr="001010FC">
        <w:rPr>
          <w:lang w:val="en-US"/>
        </w:rPr>
        <w:t xml:space="preserve"> </w:t>
      </w:r>
      <w:r w:rsidRPr="001010FC">
        <w:rPr>
          <w:noProof/>
          <w:lang w:val="en-US"/>
        </w:rPr>
        <w:t>regarding</w:t>
      </w:r>
      <w:r w:rsidRPr="001010FC">
        <w:rPr>
          <w:lang w:val="en-US"/>
        </w:rPr>
        <w:t xml:space="preserve"> solar energy. The same attention </w:t>
      </w:r>
      <w:r w:rsidRPr="001010FC">
        <w:rPr>
          <w:noProof/>
          <w:lang w:val="en-US"/>
        </w:rPr>
        <w:t>is given</w:t>
      </w:r>
      <w:r w:rsidRPr="001010FC">
        <w:rPr>
          <w:lang w:val="en-US"/>
        </w:rPr>
        <w:t xml:space="preserve"> to the wind that </w:t>
      </w:r>
      <w:r w:rsidRPr="001010FC">
        <w:rPr>
          <w:noProof/>
          <w:lang w:val="en-US"/>
        </w:rPr>
        <w:t>makes</w:t>
      </w:r>
      <w:r w:rsidRPr="001010FC">
        <w:rPr>
          <w:lang w:val="en-US"/>
        </w:rPr>
        <w:t xml:space="preserve"> our palm trees flutter </w:t>
      </w:r>
      <w:r w:rsidRPr="001010FC">
        <w:rPr>
          <w:noProof/>
          <w:lang w:val="en-US"/>
        </w:rPr>
        <w:t>throughout</w:t>
      </w:r>
      <w:r w:rsidRPr="001010FC">
        <w:rPr>
          <w:lang w:val="en-US"/>
        </w:rPr>
        <w:t xml:space="preserve"> the over eight thousand kilometers of </w:t>
      </w:r>
      <w:r w:rsidRPr="001010FC">
        <w:rPr>
          <w:noProof/>
          <w:lang w:val="en-US"/>
        </w:rPr>
        <w:t>coast</w:t>
      </w:r>
      <w:r w:rsidRPr="001010FC">
        <w:rPr>
          <w:lang w:val="en-US"/>
        </w:rPr>
        <w:t xml:space="preserve">, </w:t>
      </w:r>
      <w:r w:rsidRPr="001010FC">
        <w:rPr>
          <w:noProof/>
          <w:lang w:val="en-US"/>
        </w:rPr>
        <w:t>but</w:t>
      </w:r>
      <w:r w:rsidRPr="00285744">
        <w:rPr>
          <w:noProof/>
          <w:lang w:val="en-US"/>
        </w:rPr>
        <w:t>...</w:t>
      </w:r>
      <w:r w:rsidRPr="001010FC">
        <w:rPr>
          <w:lang w:val="en-US"/>
        </w:rPr>
        <w:t xml:space="preserve"> these do not generate </w:t>
      </w:r>
      <w:r w:rsidRPr="001010FC">
        <w:rPr>
          <w:noProof/>
          <w:lang w:val="en-US"/>
        </w:rPr>
        <w:t>much</w:t>
      </w:r>
      <w:r w:rsidRPr="001010FC">
        <w:rPr>
          <w:lang w:val="en-US"/>
        </w:rPr>
        <w:t xml:space="preserve"> electric power” (Grzybowski, 2015, pp. 75)</w:t>
      </w:r>
    </w:p>
    <w:p w14:paraId="4365BB48" w14:textId="16FF7320" w:rsidR="002A4AE4" w:rsidRDefault="002A4AE4" w:rsidP="00231477">
      <w:pPr>
        <w:pStyle w:val="texto"/>
        <w:rPr>
          <w:rStyle w:val="citedauthor"/>
        </w:rPr>
      </w:pPr>
      <w:r>
        <w:rPr>
          <w:rStyle w:val="citedauthor"/>
        </w:rPr>
        <w:t xml:space="preserve">Environmental impacts are one of the consequences of hydropower in Amazon region. Another is </w:t>
      </w:r>
      <w:r w:rsidRPr="00285744">
        <w:rPr>
          <w:rStyle w:val="citedauthor"/>
          <w:noProof/>
        </w:rPr>
        <w:t>environmental</w:t>
      </w:r>
      <w:r w:rsidR="002F210C">
        <w:rPr>
          <w:rStyle w:val="citedauthor"/>
        </w:rPr>
        <w:t xml:space="preserve"> injustice, which </w:t>
      </w:r>
      <w:r w:rsidR="00965ACC">
        <w:rPr>
          <w:rStyle w:val="citedauthor"/>
        </w:rPr>
        <w:t>occurs when the environmental justice is negated.</w:t>
      </w:r>
      <w:r w:rsidR="002F210C">
        <w:rPr>
          <w:rStyle w:val="citedauthor"/>
        </w:rPr>
        <w:t xml:space="preserve"> </w:t>
      </w:r>
      <w:r w:rsidR="00965ACC">
        <w:rPr>
          <w:rStyle w:val="citedauthor"/>
        </w:rPr>
        <w:t xml:space="preserve">Benn (1993) claims that environmental justice calls equity. Lazarus (1994) states that the concept aims to avoid injustice in the distribution of environmental costs and benefits. Therefore, when an implementation of new hydropower in Amazon region affects the indigenous population, environmental injustice is promoted. </w:t>
      </w:r>
      <w:r w:rsidR="000863FB">
        <w:rPr>
          <w:rStyle w:val="citedauthor"/>
        </w:rPr>
        <w:t xml:space="preserve">Schaeffer et al. (2013) </w:t>
      </w:r>
      <w:r w:rsidR="000863FB" w:rsidRPr="002F210C">
        <w:rPr>
          <w:rStyle w:val="citedauthor"/>
          <w:noProof/>
        </w:rPr>
        <w:t>argue</w:t>
      </w:r>
      <w:r w:rsidR="000863FB">
        <w:rPr>
          <w:rStyle w:val="citedauthor"/>
        </w:rPr>
        <w:t xml:space="preserve"> that 25% of the Amazon hydropowers would a</w:t>
      </w:r>
      <w:r w:rsidR="000C7102">
        <w:rPr>
          <w:rStyle w:val="citedauthor"/>
        </w:rPr>
        <w:t xml:space="preserve">ffect the indigenous population, </w:t>
      </w:r>
      <w:r w:rsidR="009B5974">
        <w:rPr>
          <w:rStyle w:val="citedauthor"/>
        </w:rPr>
        <w:t>as stated in</w:t>
      </w:r>
      <w:r w:rsidR="000C7102">
        <w:rPr>
          <w:rStyle w:val="citedauthor"/>
        </w:rPr>
        <w:t xml:space="preserve"> </w:t>
      </w:r>
      <w:r w:rsidR="000C7102">
        <w:rPr>
          <w:rStyle w:val="citedauthor"/>
        </w:rPr>
        <w:fldChar w:fldCharType="begin"/>
      </w:r>
      <w:r w:rsidR="000C7102">
        <w:rPr>
          <w:rStyle w:val="citedauthor"/>
        </w:rPr>
        <w:instrText xml:space="preserve"> REF _Ref478061175 \h </w:instrText>
      </w:r>
      <w:r w:rsidR="000C7102">
        <w:rPr>
          <w:rStyle w:val="citedauthor"/>
        </w:rPr>
      </w:r>
      <w:r w:rsidR="000C7102">
        <w:rPr>
          <w:rStyle w:val="citedauthor"/>
        </w:rPr>
        <w:fldChar w:fldCharType="separate"/>
      </w:r>
      <w:r w:rsidR="00A22E4D" w:rsidRPr="00163F73">
        <w:t xml:space="preserve">Figure </w:t>
      </w:r>
      <w:r w:rsidR="00A22E4D">
        <w:rPr>
          <w:noProof/>
        </w:rPr>
        <w:t>2</w:t>
      </w:r>
      <w:r w:rsidR="000C7102">
        <w:rPr>
          <w:rStyle w:val="citedauthor"/>
        </w:rPr>
        <w:fldChar w:fldCharType="end"/>
      </w:r>
      <w:r w:rsidR="000C7102">
        <w:rPr>
          <w:rStyle w:val="citedauthor"/>
        </w:rPr>
        <w:t>.</w:t>
      </w:r>
    </w:p>
    <w:p w14:paraId="7035C626" w14:textId="19A44005" w:rsidR="000863FB" w:rsidRPr="000863FB" w:rsidRDefault="000C7102" w:rsidP="00231477">
      <w:pPr>
        <w:pStyle w:val="texto"/>
        <w:rPr>
          <w:rStyle w:val="citedauthor"/>
          <w:lang w:val="pt-BR"/>
        </w:rPr>
      </w:pPr>
      <w:r>
        <w:rPr>
          <w:noProof/>
        </w:rPr>
        <w:lastRenderedPageBreak/>
        <w:drawing>
          <wp:inline distT="0" distB="0" distL="0" distR="0" wp14:anchorId="4D38C7F9" wp14:editId="70C76F4A">
            <wp:extent cx="5217953" cy="3690620"/>
            <wp:effectExtent l="0" t="0" r="190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777" t="16413" r="21816" b="10104"/>
                    <a:stretch/>
                  </pic:blipFill>
                  <pic:spPr bwMode="auto">
                    <a:xfrm>
                      <a:off x="0" y="0"/>
                      <a:ext cx="5229245" cy="3698607"/>
                    </a:xfrm>
                    <a:prstGeom prst="rect">
                      <a:avLst/>
                    </a:prstGeom>
                    <a:ln>
                      <a:noFill/>
                    </a:ln>
                    <a:extLst>
                      <a:ext uri="{53640926-AAD7-44D8-BBD7-CCE9431645EC}">
                        <a14:shadowObscured xmlns:a14="http://schemas.microsoft.com/office/drawing/2010/main"/>
                      </a:ext>
                    </a:extLst>
                  </pic:spPr>
                </pic:pic>
              </a:graphicData>
            </a:graphic>
          </wp:inline>
        </w:drawing>
      </w:r>
    </w:p>
    <w:p w14:paraId="60DD3420" w14:textId="69520DD5" w:rsidR="000863FB" w:rsidRPr="00163F73" w:rsidRDefault="000863FB" w:rsidP="000863FB">
      <w:pPr>
        <w:pStyle w:val="Caption"/>
      </w:pPr>
      <w:bookmarkStart w:id="4" w:name="_Ref478061175"/>
      <w:r w:rsidRPr="00163F73">
        <w:t xml:space="preserve">Figure </w:t>
      </w:r>
      <w:r>
        <w:fldChar w:fldCharType="begin"/>
      </w:r>
      <w:r w:rsidRPr="00163F73">
        <w:instrText xml:space="preserve"> SEQ Figure \* ARABIC </w:instrText>
      </w:r>
      <w:r>
        <w:fldChar w:fldCharType="separate"/>
      </w:r>
      <w:r w:rsidR="00A22E4D">
        <w:rPr>
          <w:noProof/>
        </w:rPr>
        <w:t>2</w:t>
      </w:r>
      <w:r>
        <w:rPr>
          <w:noProof/>
        </w:rPr>
        <w:fldChar w:fldCharType="end"/>
      </w:r>
      <w:bookmarkEnd w:id="4"/>
      <w:r w:rsidRPr="00163F73">
        <w:t xml:space="preserve">. </w:t>
      </w:r>
      <w:r>
        <w:t>Hydropower plants in the Amazon region by stage versus natu</w:t>
      </w:r>
      <w:r w:rsidR="004A790E">
        <w:t>r</w:t>
      </w:r>
      <w:r>
        <w:t>al protected area and indigenous land</w:t>
      </w:r>
    </w:p>
    <w:p w14:paraId="16C73F12" w14:textId="6B47FEEC" w:rsidR="000863FB" w:rsidRDefault="000863FB" w:rsidP="000863FB">
      <w:pPr>
        <w:pStyle w:val="Source"/>
      </w:pPr>
      <w:r w:rsidRPr="004D5BF0">
        <w:t xml:space="preserve">Source: </w:t>
      </w:r>
      <w:r>
        <w:rPr>
          <w:rStyle w:val="citedauthor"/>
        </w:rPr>
        <w:t>Schaeffer et al. (2013)</w:t>
      </w:r>
    </w:p>
    <w:p w14:paraId="787078F2" w14:textId="4C5F46BB" w:rsidR="00285744" w:rsidRPr="00285744" w:rsidRDefault="006678BB" w:rsidP="00310149">
      <w:pPr>
        <w:pStyle w:val="texto"/>
        <w:tabs>
          <w:tab w:val="left" w:pos="5850"/>
        </w:tabs>
        <w:rPr>
          <w:noProof/>
        </w:rPr>
      </w:pPr>
      <w:r w:rsidRPr="006678BB">
        <w:t>Since Brazil has other alternative methods that can generate electricity, there is no justification to invest</w:t>
      </w:r>
      <w:r>
        <w:t xml:space="preserve"> in hydropowers in Amazon. </w:t>
      </w:r>
      <w:r w:rsidR="00285744" w:rsidRPr="00285744">
        <w:rPr>
          <w:noProof/>
        </w:rPr>
        <w:t xml:space="preserve">Financial, environmental and social costs of the hydtroeletric planned are not enough to </w:t>
      </w:r>
      <w:r w:rsidR="00285744" w:rsidRPr="00285744">
        <w:rPr>
          <w:noProof/>
        </w:rPr>
        <w:t xml:space="preserve">validate its benefits. Therefore, </w:t>
      </w:r>
      <w:r w:rsidR="00285744" w:rsidRPr="00285744">
        <w:rPr>
          <w:noProof/>
        </w:rPr>
        <w:t>their</w:t>
      </w:r>
      <w:r w:rsidR="00285744" w:rsidRPr="00285744">
        <w:rPr>
          <w:noProof/>
        </w:rPr>
        <w:t xml:space="preserve"> implantation </w:t>
      </w:r>
      <w:r w:rsidR="00285744" w:rsidRPr="00285744">
        <w:rPr>
          <w:noProof/>
        </w:rPr>
        <w:t xml:space="preserve">in Amazon region </w:t>
      </w:r>
      <w:r w:rsidR="00285744" w:rsidRPr="003A63BF">
        <w:rPr>
          <w:noProof/>
        </w:rPr>
        <w:t>are</w:t>
      </w:r>
      <w:r w:rsidR="00285744" w:rsidRPr="00285744">
        <w:rPr>
          <w:noProof/>
        </w:rPr>
        <w:t xml:space="preserve"> </w:t>
      </w:r>
      <w:r w:rsidR="00285744" w:rsidRPr="00285744">
        <w:rPr>
          <w:noProof/>
        </w:rPr>
        <w:t>classified as an environmental injustice.</w:t>
      </w:r>
    </w:p>
    <w:p w14:paraId="07CEC926" w14:textId="77777777" w:rsidR="00D557E3" w:rsidRDefault="00D557E3" w:rsidP="00393578">
      <w:pPr>
        <w:pStyle w:val="Heading1"/>
        <w:rPr>
          <w:rStyle w:val="citedauthor"/>
        </w:rPr>
      </w:pPr>
      <w:r>
        <w:rPr>
          <w:rStyle w:val="citedauthor"/>
        </w:rPr>
        <w:t>H3. Engagement in state-sponsored greenwashing.</w:t>
      </w:r>
    </w:p>
    <w:p w14:paraId="34DC85AC" w14:textId="51A6D87B" w:rsidR="003A63BF" w:rsidRDefault="003E7D99" w:rsidP="00A15A0E">
      <w:pPr>
        <w:pStyle w:val="texto"/>
      </w:pPr>
      <w:r>
        <w:rPr>
          <w:rStyle w:val="citedauthor"/>
        </w:rPr>
        <w:t>Because</w:t>
      </w:r>
      <w:r w:rsidR="00482399">
        <w:rPr>
          <w:rStyle w:val="citedauthor"/>
        </w:rPr>
        <w:t xml:space="preserve"> H1 and H2 are true, it is likely that Brazil is engaged in greenwashing. </w:t>
      </w:r>
      <w:r w:rsidR="00482399" w:rsidRPr="00482399">
        <w:t xml:space="preserve">Bowen (2014), </w:t>
      </w:r>
      <w:r w:rsidR="00702FA2">
        <w:t>states that greenwashing is a combination of a positive environmental communication with poor environmental performance.</w:t>
      </w:r>
      <w:r w:rsidR="00482399">
        <w:t xml:space="preserve"> </w:t>
      </w:r>
      <w:r w:rsidR="00FB2B8C">
        <w:t>Therefore, sustainable solutions are just stated for</w:t>
      </w:r>
      <w:r w:rsidR="003A63BF">
        <w:t xml:space="preserve"> the</w:t>
      </w:r>
      <w:r w:rsidR="00FB2B8C">
        <w:t xml:space="preserve"> </w:t>
      </w:r>
      <w:r w:rsidR="00FB2B8C" w:rsidRPr="003A63BF">
        <w:rPr>
          <w:noProof/>
        </w:rPr>
        <w:t>maketing</w:t>
      </w:r>
      <w:r w:rsidR="00FB2B8C">
        <w:t xml:space="preserve"> purpose, without any environmental improvement or impact </w:t>
      </w:r>
      <w:r w:rsidR="00FB2B8C">
        <w:fldChar w:fldCharType="begin"/>
      </w:r>
      <w:r w:rsidR="00FB2B8C">
        <w:instrText xml:space="preserve"> ADDIN EN.CITE &lt;EndNote&gt;&lt;Cite&gt;&lt;Author&gt;Bowen&lt;/Author&gt;&lt;Year&gt;2014&lt;/Year&gt;&lt;RecNum&gt;65&lt;/RecNum&gt;&lt;DisplayText&gt;(Bowen, 2014)&lt;/DisplayText&gt;&lt;record&gt;&lt;rec-number&gt;65&lt;/rec-number&gt;&lt;foreign-keys&gt;&lt;key app="EN" db-id="0pv0svx92d9at8efs26vverg2txfvd9pef99" timestamp="1480946582"&gt;65&lt;/key&gt;&lt;/foreign-keys&gt;&lt;ref-type name="Book"&gt;6&lt;/ref-type&gt;&lt;contributors&gt;&lt;authors&gt;&lt;author&gt;Bowen, Frances&lt;/author&gt;&lt;/authors&gt;&lt;/contributors&gt;&lt;titles&gt;&lt;title&gt;After greenwashing: Symbolic corporate environmentalism and society&lt;/title&gt;&lt;/titles&gt;&lt;dates&gt;&lt;year&gt;2014&lt;/year&gt;&lt;/dates&gt;&lt;publisher&gt;Cambridge University Press&lt;/publisher&gt;&lt;isbn&gt;1139916467&lt;/isbn&gt;&lt;urls&gt;&lt;/urls&gt;&lt;/record&gt;&lt;/Cite&gt;&lt;/EndNote&gt;</w:instrText>
      </w:r>
      <w:r w:rsidR="00FB2B8C">
        <w:fldChar w:fldCharType="separate"/>
      </w:r>
      <w:r w:rsidR="00FB2B8C">
        <w:rPr>
          <w:noProof/>
        </w:rPr>
        <w:t>(Bowen, 2014)</w:t>
      </w:r>
      <w:r w:rsidR="00FB2B8C">
        <w:fldChar w:fldCharType="end"/>
      </w:r>
      <w:r w:rsidR="00FB2B8C">
        <w:t xml:space="preserve">. </w:t>
      </w:r>
      <w:r w:rsidR="00FB2B8C" w:rsidRPr="00482399">
        <w:t>One of the explanations of why Brazil is not investing in clean energy is that in fact, the country is engaged in greenwashing.</w:t>
      </w:r>
      <w:r w:rsidR="00A15A0E">
        <w:t xml:space="preserve"> </w:t>
      </w:r>
      <w:r w:rsidR="00482399" w:rsidRPr="003A63BF">
        <w:rPr>
          <w:noProof/>
        </w:rPr>
        <w:t>To test H3</w:t>
      </w:r>
      <w:r w:rsidR="003A63BF">
        <w:t xml:space="preserve">, an observational study </w:t>
      </w:r>
      <w:r w:rsidR="00A15A0E">
        <w:t>assessed</w:t>
      </w:r>
      <w:r w:rsidR="003A63BF">
        <w:t xml:space="preserve"> the Brazilian </w:t>
      </w:r>
      <w:r w:rsidR="00A15A0E">
        <w:t>climate agreements signed and its target commitments to decrease carbon emission.</w:t>
      </w:r>
    </w:p>
    <w:p w14:paraId="205247B5" w14:textId="77777777" w:rsidR="00F66520" w:rsidRPr="0040129C" w:rsidRDefault="00F66520" w:rsidP="00F66520">
      <w:pPr>
        <w:pStyle w:val="Heading2"/>
      </w:pPr>
      <w:r>
        <w:lastRenderedPageBreak/>
        <w:t>Climate change commitments and g</w:t>
      </w:r>
      <w:r w:rsidRPr="0040129C">
        <w:t xml:space="preserve">reenhouse </w:t>
      </w:r>
      <w:r w:rsidRPr="00892F9B">
        <w:rPr>
          <w:noProof/>
        </w:rPr>
        <w:t>gases</w:t>
      </w:r>
      <w:r w:rsidRPr="0040129C">
        <w:t xml:space="preserve"> emission in Brazil</w:t>
      </w:r>
    </w:p>
    <w:p w14:paraId="4851D53B" w14:textId="26534917" w:rsidR="00B52B30" w:rsidRPr="0040129C" w:rsidRDefault="00B52B30" w:rsidP="00B52B30">
      <w:pPr>
        <w:pStyle w:val="texto"/>
      </w:pPr>
      <w:r w:rsidRPr="007064B8">
        <w:t>Conforming IPCC-AR5 (2009) report, by 2100, it is necessary that the average total global emission of GHG is 11 GtCO</w:t>
      </w:r>
      <w:r w:rsidRPr="007064B8">
        <w:rPr>
          <w:sz w:val="14"/>
          <w:szCs w:val="14"/>
        </w:rPr>
        <w:t>2</w:t>
      </w:r>
      <w:r w:rsidRPr="00CB2C59">
        <w:t>eq</w:t>
      </w:r>
      <w:r w:rsidRPr="007064B8">
        <w:t xml:space="preserve"> to stabilize global warming in 2ºC</w:t>
      </w:r>
      <w:r>
        <w:t xml:space="preserve">, </w:t>
      </w:r>
      <w:r w:rsidRPr="007064B8">
        <w:t>which is 66% likely (IPCC, 2009).</w:t>
      </w:r>
      <w:r w:rsidRPr="00196E4C">
        <w:t xml:space="preserve"> </w:t>
      </w:r>
      <w:r w:rsidRPr="0040129C">
        <w:t>According to estimates from Emission Database for Global Atmospheric Research (EDGAR) in 2012, the total global emission of GHG was around 52 billion of carbon equivalent (GtCO</w:t>
      </w:r>
      <w:r w:rsidRPr="0040129C">
        <w:rPr>
          <w:vertAlign w:val="subscript"/>
        </w:rPr>
        <w:t>2</w:t>
      </w:r>
      <w:r w:rsidRPr="0040129C">
        <w:t>e</w:t>
      </w:r>
      <w:r>
        <w:t>q</w:t>
      </w:r>
      <w:r w:rsidRPr="0040129C">
        <w:t>).</w:t>
      </w:r>
      <w:r w:rsidRPr="00196E4C">
        <w:t xml:space="preserve"> </w:t>
      </w:r>
      <w:r w:rsidRPr="0040129C">
        <w:t>In the same year, the contribution of Brazil was 1.49 GtCO</w:t>
      </w:r>
      <w:r w:rsidRPr="0040129C">
        <w:rPr>
          <w:vertAlign w:val="subscript"/>
        </w:rPr>
        <w:t>2</w:t>
      </w:r>
      <w:r w:rsidRPr="0040129C">
        <w:t>e</w:t>
      </w:r>
      <w:r>
        <w:t>q</w:t>
      </w:r>
      <w:r w:rsidRPr="0040129C">
        <w:t xml:space="preserve">, which represents 2.86% of the total </w:t>
      </w:r>
      <w:r w:rsidR="005B0A2C">
        <w:t xml:space="preserve">global </w:t>
      </w:r>
      <w:r w:rsidRPr="0040129C">
        <w:t xml:space="preserve">emission. </w:t>
      </w:r>
    </w:p>
    <w:p w14:paraId="148F5CF0" w14:textId="2C2E25FC" w:rsidR="00B52B30" w:rsidRPr="005C77E0" w:rsidRDefault="00B52B30" w:rsidP="009A4731">
      <w:pPr>
        <w:pStyle w:val="texto"/>
      </w:pPr>
      <w:r w:rsidRPr="00975B8F">
        <w:rPr>
          <w:noProof/>
        </w:rPr>
        <w:t>To show</w:t>
      </w:r>
      <w:r w:rsidR="00F70732" w:rsidRPr="00975B8F">
        <w:rPr>
          <w:noProof/>
        </w:rPr>
        <w:t xml:space="preserve"> the Brazilian commitment reducing carbon emissions</w:t>
      </w:r>
      <w:r w:rsidR="00F70732">
        <w:rPr>
          <w:noProof/>
        </w:rPr>
        <w:t>, the country</w:t>
      </w:r>
      <w:r>
        <w:t xml:space="preserve"> voluntary signed and ratified the Kyoto Protocol</w:t>
      </w:r>
      <w:r w:rsidR="00975B8F">
        <w:t xml:space="preserve"> in 1998 and 2002. In 2008, Brazil </w:t>
      </w:r>
      <w:r>
        <w:t xml:space="preserve">elaborated </w:t>
      </w:r>
      <w:r w:rsidRPr="005C77E0">
        <w:t>the Climate Change National Plan</w:t>
      </w:r>
      <w:r>
        <w:t xml:space="preserve">, which </w:t>
      </w:r>
      <w:r w:rsidRPr="00892F9B">
        <w:rPr>
          <w:noProof/>
        </w:rPr>
        <w:t>was presented</w:t>
      </w:r>
      <w:r>
        <w:t xml:space="preserve"> at the UNFCCC </w:t>
      </w:r>
      <w:r w:rsidRPr="00892F9B">
        <w:rPr>
          <w:noProof/>
        </w:rPr>
        <w:t>Conference of the Parties in Copenhagen in 2009.</w:t>
      </w:r>
      <w:r>
        <w:t xml:space="preserve"> In that opportunity, Brazil also </w:t>
      </w:r>
      <w:r w:rsidRPr="00892F9B">
        <w:rPr>
          <w:noProof/>
        </w:rPr>
        <w:t>assumed</w:t>
      </w:r>
      <w:r>
        <w:t xml:space="preserve"> a voluntary goal of decreasing the projected emission of the country for 2020 by </w:t>
      </w:r>
      <w:r w:rsidRPr="005C77E0">
        <w:t>36.1% to 38.9%</w:t>
      </w:r>
      <w:r>
        <w:t xml:space="preserve">, which </w:t>
      </w:r>
      <w:r w:rsidRPr="00892F9B">
        <w:rPr>
          <w:noProof/>
        </w:rPr>
        <w:t>wou</w:t>
      </w:r>
      <w:r>
        <w:rPr>
          <w:noProof/>
        </w:rPr>
        <w:t>ld</w:t>
      </w:r>
      <w:r w:rsidRPr="00892F9B">
        <w:rPr>
          <w:noProof/>
        </w:rPr>
        <w:t xml:space="preserve"> avoid</w:t>
      </w:r>
      <w:r>
        <w:t xml:space="preserve"> </w:t>
      </w:r>
      <w:r w:rsidRPr="005C77E0">
        <w:t>0.0974 to 1.051 GtCO</w:t>
      </w:r>
      <w:r w:rsidRPr="005C77E0">
        <w:rPr>
          <w:vertAlign w:val="subscript"/>
        </w:rPr>
        <w:t>2</w:t>
      </w:r>
      <w:r>
        <w:rPr>
          <w:vertAlign w:val="subscript"/>
        </w:rPr>
        <w:t xml:space="preserve"> </w:t>
      </w:r>
      <w:r w:rsidRPr="005C77E0">
        <w:t>(UNFCC, 2010)</w:t>
      </w:r>
      <w:r>
        <w:t xml:space="preserve">. </w:t>
      </w:r>
    </w:p>
    <w:p w14:paraId="454319F6" w14:textId="244D61F9" w:rsidR="00975B8F" w:rsidRDefault="00B52B30" w:rsidP="00F70732">
      <w:pPr>
        <w:pStyle w:val="texto"/>
      </w:pPr>
      <w:r>
        <w:t xml:space="preserve">In 2015, Brazil signed the Paris agreement, in which the country pledge </w:t>
      </w:r>
      <w:r w:rsidR="00975B8F">
        <w:t xml:space="preserve">its commitment </w:t>
      </w:r>
      <w:r w:rsidR="00975B8F">
        <w:t xml:space="preserve">to </w:t>
      </w:r>
      <w:r w:rsidR="00975B8F" w:rsidRPr="001C0954">
        <w:rPr>
          <w:noProof/>
        </w:rPr>
        <w:t>reduc</w:t>
      </w:r>
      <w:r w:rsidR="00975B8F">
        <w:rPr>
          <w:noProof/>
        </w:rPr>
        <w:t>ing by 2030</w:t>
      </w:r>
      <w:r w:rsidR="00975B8F">
        <w:t xml:space="preserve"> its emission by 37% of 2005 levels.</w:t>
      </w:r>
      <w:r w:rsidR="00975B8F">
        <w:t xml:space="preserve"> </w:t>
      </w:r>
      <w:r w:rsidR="00975B8F">
        <w:rPr>
          <w:rStyle w:val="citedauthor"/>
        </w:rPr>
        <w:t xml:space="preserve">Evaluating the </w:t>
      </w:r>
      <w:r w:rsidR="00975B8F" w:rsidRPr="008C15BD">
        <w:t>CO</w:t>
      </w:r>
      <w:r w:rsidR="00975B8F" w:rsidRPr="008C15BD">
        <w:rPr>
          <w:vertAlign w:val="subscript"/>
        </w:rPr>
        <w:t>2</w:t>
      </w:r>
      <w:r w:rsidR="00975B8F" w:rsidRPr="008C15BD">
        <w:t xml:space="preserve">eq </w:t>
      </w:r>
      <w:r w:rsidR="00975B8F">
        <w:rPr>
          <w:rStyle w:val="citedauthor"/>
        </w:rPr>
        <w:t xml:space="preserve">emissions of Brazil, from 1990-2015, the average was 2.27 </w:t>
      </w:r>
      <w:r w:rsidR="00975B8F" w:rsidRPr="008C15BD">
        <w:t>GtCO</w:t>
      </w:r>
      <w:r w:rsidR="00975B8F" w:rsidRPr="008C15BD">
        <w:rPr>
          <w:vertAlign w:val="subscript"/>
        </w:rPr>
        <w:t>2</w:t>
      </w:r>
      <w:r w:rsidR="00975B8F" w:rsidRPr="008C15BD">
        <w:t>eq, with</w:t>
      </w:r>
      <w:r w:rsidR="00975B8F">
        <w:t xml:space="preserve"> a</w:t>
      </w:r>
      <w:r w:rsidR="00975B8F" w:rsidRPr="008C15BD">
        <w:t xml:space="preserve"> </w:t>
      </w:r>
      <w:r w:rsidR="00975B8F" w:rsidRPr="001C0954">
        <w:rPr>
          <w:noProof/>
        </w:rPr>
        <w:t>maximum</w:t>
      </w:r>
      <w:r w:rsidR="00975B8F" w:rsidRPr="008C15BD">
        <w:t xml:space="preserve"> value of 3.82</w:t>
      </w:r>
      <w:r w:rsidR="00975B8F" w:rsidRPr="008C15BD">
        <w:rPr>
          <w:sz w:val="20"/>
          <w:szCs w:val="20"/>
        </w:rPr>
        <w:t xml:space="preserve"> </w:t>
      </w:r>
      <w:r w:rsidR="00975B8F" w:rsidRPr="008C15BD">
        <w:t>GtCO</w:t>
      </w:r>
      <w:r w:rsidR="00975B8F" w:rsidRPr="008C15BD">
        <w:rPr>
          <w:vertAlign w:val="subscript"/>
        </w:rPr>
        <w:t>2</w:t>
      </w:r>
      <w:r w:rsidR="00975B8F" w:rsidRPr="008C15BD">
        <w:t>eq in 2004, and</w:t>
      </w:r>
      <w:r w:rsidR="00975B8F">
        <w:t xml:space="preserve"> a</w:t>
      </w:r>
      <w:r w:rsidR="00975B8F" w:rsidRPr="008C15BD">
        <w:t xml:space="preserve"> </w:t>
      </w:r>
      <w:r w:rsidR="00975B8F" w:rsidRPr="001C0954">
        <w:rPr>
          <w:noProof/>
        </w:rPr>
        <w:t>minimum</w:t>
      </w:r>
      <w:r w:rsidR="00975B8F" w:rsidRPr="008C15BD">
        <w:t xml:space="preserve"> of 1.53 GtCO</w:t>
      </w:r>
      <w:r w:rsidR="00975B8F" w:rsidRPr="008C15BD">
        <w:rPr>
          <w:vertAlign w:val="subscript"/>
        </w:rPr>
        <w:t>2</w:t>
      </w:r>
      <w:r w:rsidR="00975B8F" w:rsidRPr="008C15BD">
        <w:t>eq in 1991 (SEEG, 2015).</w:t>
      </w:r>
      <w:r w:rsidR="00975B8F">
        <w:t xml:space="preserve"> The year </w:t>
      </w:r>
      <w:r w:rsidR="00975B8F">
        <w:t>2005</w:t>
      </w:r>
      <w:r w:rsidR="00975B8F">
        <w:t xml:space="preserve">, which is the reference level, represents the third highest </w:t>
      </w:r>
      <w:r w:rsidR="00975B8F" w:rsidRPr="008C15BD">
        <w:t>emission in 27 years (</w:t>
      </w:r>
      <w:r w:rsidR="00975B8F">
        <w:rPr>
          <w:lang w:val="pt-BR"/>
        </w:rPr>
        <w:fldChar w:fldCharType="begin"/>
      </w:r>
      <w:r w:rsidR="00975B8F" w:rsidRPr="008C15BD">
        <w:instrText xml:space="preserve"> REF _Ref477775178 \h </w:instrText>
      </w:r>
      <w:r w:rsidR="00975B8F">
        <w:rPr>
          <w:lang w:val="pt-BR"/>
        </w:rPr>
      </w:r>
      <w:r w:rsidR="00975B8F">
        <w:rPr>
          <w:lang w:val="pt-BR"/>
        </w:rPr>
        <w:fldChar w:fldCharType="separate"/>
      </w:r>
      <w:r w:rsidR="00975B8F" w:rsidRPr="00163F73">
        <w:t xml:space="preserve">Chart </w:t>
      </w:r>
      <w:r w:rsidR="00975B8F">
        <w:rPr>
          <w:noProof/>
        </w:rPr>
        <w:t>4</w:t>
      </w:r>
      <w:r w:rsidR="00975B8F">
        <w:rPr>
          <w:lang w:val="pt-BR"/>
        </w:rPr>
        <w:fldChar w:fldCharType="end"/>
      </w:r>
      <w:r w:rsidR="00975B8F" w:rsidRPr="008C15BD">
        <w:t>).</w:t>
      </w:r>
      <w:r w:rsidR="00975B8F">
        <w:t xml:space="preserve"> </w:t>
      </w:r>
      <w:r w:rsidR="00975B8F">
        <w:rPr>
          <w:noProof/>
        </w:rPr>
        <w:t>B</w:t>
      </w:r>
      <w:r w:rsidR="00975B8F" w:rsidRPr="001C0954">
        <w:rPr>
          <w:noProof/>
        </w:rPr>
        <w:t>efore 2010</w:t>
      </w:r>
      <w:r w:rsidR="00975B8F">
        <w:rPr>
          <w:noProof/>
        </w:rPr>
        <w:t xml:space="preserve">, </w:t>
      </w:r>
      <w:r w:rsidR="00975B8F" w:rsidRPr="007064B8">
        <w:t>deforestation</w:t>
      </w:r>
      <w:r w:rsidR="00975B8F">
        <w:t xml:space="preserve"> was the largest Brazilian emitter, </w:t>
      </w:r>
      <w:r w:rsidR="00975B8F" w:rsidRPr="007064B8">
        <w:t>accounting for more than 50% of the CO</w:t>
      </w:r>
      <w:r w:rsidR="00975B8F" w:rsidRPr="007064B8">
        <w:rPr>
          <w:vertAlign w:val="subscript"/>
        </w:rPr>
        <w:t>2</w:t>
      </w:r>
      <w:r w:rsidR="00975B8F" w:rsidRPr="007064B8">
        <w:t>eq released (</w:t>
      </w:r>
      <w:r w:rsidR="00975B8F">
        <w:rPr>
          <w:lang w:val="pt-BR"/>
        </w:rPr>
        <w:fldChar w:fldCharType="begin"/>
      </w:r>
      <w:r w:rsidR="00975B8F" w:rsidRPr="008C15BD">
        <w:instrText xml:space="preserve"> REF _Ref477775178 \h </w:instrText>
      </w:r>
      <w:r w:rsidR="00975B8F">
        <w:rPr>
          <w:lang w:val="pt-BR"/>
        </w:rPr>
      </w:r>
      <w:r w:rsidR="00975B8F">
        <w:rPr>
          <w:lang w:val="pt-BR"/>
        </w:rPr>
        <w:fldChar w:fldCharType="separate"/>
      </w:r>
      <w:r w:rsidR="00975B8F" w:rsidRPr="00163F73">
        <w:t xml:space="preserve">Chart </w:t>
      </w:r>
      <w:r w:rsidR="00975B8F">
        <w:rPr>
          <w:noProof/>
        </w:rPr>
        <w:t>4</w:t>
      </w:r>
      <w:r w:rsidR="00975B8F">
        <w:rPr>
          <w:lang w:val="pt-BR"/>
        </w:rPr>
        <w:fldChar w:fldCharType="end"/>
      </w:r>
      <w:r w:rsidR="00975B8F" w:rsidRPr="008C15BD">
        <w:t xml:space="preserve">, </w:t>
      </w:r>
      <w:r w:rsidR="00975B8F">
        <w:fldChar w:fldCharType="begin"/>
      </w:r>
      <w:r w:rsidR="00975B8F">
        <w:instrText xml:space="preserve"> REF _Ref436940871 \h </w:instrText>
      </w:r>
      <w:r w:rsidR="00975B8F">
        <w:fldChar w:fldCharType="separate"/>
      </w:r>
      <w:r w:rsidR="00975B8F" w:rsidRPr="00B57213">
        <w:t xml:space="preserve">Chart </w:t>
      </w:r>
      <w:r w:rsidR="00975B8F">
        <w:rPr>
          <w:noProof/>
        </w:rPr>
        <w:t>5</w:t>
      </w:r>
      <w:r w:rsidR="00975B8F">
        <w:fldChar w:fldCharType="end"/>
      </w:r>
      <w:r w:rsidR="00975B8F" w:rsidRPr="007064B8">
        <w:t>).</w:t>
      </w:r>
    </w:p>
    <w:p w14:paraId="723BBB35" w14:textId="7A14DA41" w:rsidR="00975B8F" w:rsidRDefault="00975B8F" w:rsidP="00F70732">
      <w:pPr>
        <w:pStyle w:val="texto"/>
      </w:pPr>
    </w:p>
    <w:p w14:paraId="0D05E6AE" w14:textId="4FF5A98D" w:rsidR="00975B8F" w:rsidRDefault="00975B8F" w:rsidP="00F70732">
      <w:pPr>
        <w:pStyle w:val="texto"/>
      </w:pPr>
    </w:p>
    <w:p w14:paraId="1E765B7E" w14:textId="7D229D47" w:rsidR="00975B8F" w:rsidRDefault="00975B8F" w:rsidP="00F70732">
      <w:pPr>
        <w:pStyle w:val="texto"/>
      </w:pPr>
    </w:p>
    <w:p w14:paraId="33F8AE58" w14:textId="4008DADB" w:rsidR="00975B8F" w:rsidRDefault="00975B8F" w:rsidP="00F70732">
      <w:pPr>
        <w:pStyle w:val="texto"/>
      </w:pPr>
    </w:p>
    <w:p w14:paraId="2EC0E75D" w14:textId="77777777" w:rsidR="00975B8F" w:rsidRDefault="00975B8F" w:rsidP="00F70732">
      <w:pPr>
        <w:pStyle w:val="texto"/>
      </w:pPr>
    </w:p>
    <w:p w14:paraId="410DC497" w14:textId="45B95C7E" w:rsidR="00F70732" w:rsidRPr="00163F73" w:rsidRDefault="00F70732" w:rsidP="00F70732">
      <w:pPr>
        <w:pStyle w:val="Caption"/>
      </w:pPr>
      <w:bookmarkStart w:id="5" w:name="_Ref477775178"/>
      <w:r w:rsidRPr="00163F73">
        <w:lastRenderedPageBreak/>
        <w:t xml:space="preserve">Chart </w:t>
      </w:r>
      <w:r>
        <w:fldChar w:fldCharType="begin"/>
      </w:r>
      <w:r w:rsidRPr="00163F73">
        <w:instrText xml:space="preserve"> SEQ Chart \* ARABIC </w:instrText>
      </w:r>
      <w:r>
        <w:fldChar w:fldCharType="separate"/>
      </w:r>
      <w:r w:rsidR="00A22E4D">
        <w:rPr>
          <w:noProof/>
        </w:rPr>
        <w:t>4</w:t>
      </w:r>
      <w:r>
        <w:rPr>
          <w:noProof/>
        </w:rPr>
        <w:fldChar w:fldCharType="end"/>
      </w:r>
      <w:bookmarkEnd w:id="5"/>
      <w:r w:rsidRPr="00163F73">
        <w:t xml:space="preserve">. </w:t>
      </w:r>
      <w:r>
        <w:t>Total and deforestation g</w:t>
      </w:r>
      <w:r w:rsidRPr="00163F73">
        <w:t>reenhouse ga</w:t>
      </w:r>
      <w:r>
        <w:t>ses emission in Brazil 1990-2015</w:t>
      </w:r>
    </w:p>
    <w:p w14:paraId="483BBB6F" w14:textId="77777777" w:rsidR="00F70732" w:rsidRDefault="00F70732" w:rsidP="00F70732">
      <w:pPr>
        <w:pStyle w:val="picture"/>
        <w:rPr>
          <w:rStyle w:val="citedauthor"/>
        </w:rPr>
      </w:pPr>
      <w:r>
        <w:drawing>
          <wp:inline distT="0" distB="0" distL="0" distR="0" wp14:anchorId="0DD951E4" wp14:editId="39F677D4">
            <wp:extent cx="5553075" cy="2705100"/>
            <wp:effectExtent l="0" t="0" r="0" b="0"/>
            <wp:docPr id="1" name="Chart 1">
              <a:extLst xmlns:a="http://schemas.openxmlformats.org/drawingml/2006/main">
                <a:ext uri="{FF2B5EF4-FFF2-40B4-BE49-F238E27FC236}">
                  <a16:creationId xmlns:a16="http://schemas.microsoft.com/office/drawing/2014/main" id="{D4C64745-02FE-4F09-A704-CD4156B361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6925E5A" w14:textId="5B1F7160" w:rsidR="00F70732" w:rsidRDefault="00F70732" w:rsidP="00F70732">
      <w:pPr>
        <w:pStyle w:val="Source"/>
      </w:pPr>
      <w:r w:rsidRPr="008975F3">
        <w:t xml:space="preserve">Source System Study Greenhouse Gas Emissions Estimates (SEEG) retrieved from </w:t>
      </w:r>
      <w:hyperlink r:id="rId17" w:history="1">
        <w:r w:rsidR="001C0954" w:rsidRPr="00BE51DD">
          <w:rPr>
            <w:rStyle w:val="Hyperlink"/>
          </w:rPr>
          <w:t>http://plataforma.seeg.eco.br/total_emission</w:t>
        </w:r>
      </w:hyperlink>
    </w:p>
    <w:p w14:paraId="6535F78C" w14:textId="4E0C26BF" w:rsidR="00F70732" w:rsidRPr="00B57213" w:rsidRDefault="00F70732" w:rsidP="00F70732">
      <w:pPr>
        <w:pStyle w:val="Caption"/>
      </w:pPr>
      <w:bookmarkStart w:id="6" w:name="_Ref436940871"/>
      <w:r w:rsidRPr="00B57213">
        <w:t xml:space="preserve">Chart </w:t>
      </w:r>
      <w:r w:rsidRPr="00B57213">
        <w:fldChar w:fldCharType="begin"/>
      </w:r>
      <w:r w:rsidRPr="00B57213">
        <w:instrText xml:space="preserve"> SEQ Chart \* ARABIC </w:instrText>
      </w:r>
      <w:r w:rsidRPr="00B57213">
        <w:fldChar w:fldCharType="separate"/>
      </w:r>
      <w:r w:rsidR="00A22E4D">
        <w:rPr>
          <w:noProof/>
        </w:rPr>
        <w:t>5</w:t>
      </w:r>
      <w:r w:rsidRPr="00B57213">
        <w:fldChar w:fldCharType="end"/>
      </w:r>
      <w:bookmarkEnd w:id="6"/>
      <w:r w:rsidRPr="00B57213">
        <w:t>. Greenhouse gases emission in Brazil, in GtCO2eq per sector</w:t>
      </w:r>
      <w:r>
        <w:t>, and % representativeness</w:t>
      </w:r>
    </w:p>
    <w:p w14:paraId="626690BF" w14:textId="77777777" w:rsidR="00F70732" w:rsidRDefault="00F70732" w:rsidP="00F70732">
      <w:pPr>
        <w:pStyle w:val="picture"/>
      </w:pPr>
      <w:r>
        <w:drawing>
          <wp:inline distT="0" distB="0" distL="0" distR="0" wp14:anchorId="2E8C6C00" wp14:editId="3F5FDE5A">
            <wp:extent cx="5181600" cy="223837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3CBD5E4" w14:textId="6AF0D9D5" w:rsidR="00F70732" w:rsidRPr="008975F3" w:rsidRDefault="00F70732" w:rsidP="00F70732">
      <w:pPr>
        <w:pStyle w:val="Source"/>
      </w:pPr>
      <w:r w:rsidRPr="008975F3">
        <w:t>Source</w:t>
      </w:r>
      <w:r w:rsidR="00241C01" w:rsidRPr="008975F3">
        <w:t>:</w:t>
      </w:r>
      <w:r w:rsidRPr="008975F3">
        <w:t xml:space="preserve"> System Study Greenhouse Gas Emissions Estimates (SEEG) retrieved from http://plataforma.seeg.eco.br/total_emission</w:t>
      </w:r>
    </w:p>
    <w:p w14:paraId="3E03033C" w14:textId="000E91C6" w:rsidR="001C0954" w:rsidRDefault="00F70732" w:rsidP="00F70732">
      <w:pPr>
        <w:pStyle w:val="texto"/>
      </w:pPr>
      <w:r>
        <w:t xml:space="preserve">Declarations of engagement </w:t>
      </w:r>
      <w:r w:rsidRPr="00CB6A3B">
        <w:rPr>
          <w:noProof/>
        </w:rPr>
        <w:t>in</w:t>
      </w:r>
      <w:r>
        <w:t xml:space="preserve"> replacing fossil fuels </w:t>
      </w:r>
      <w:r w:rsidR="00CB6A3B">
        <w:t>by ethanol and biofuels; building</w:t>
      </w:r>
      <w:r w:rsidR="00AE7624">
        <w:t xml:space="preserve"> a clean </w:t>
      </w:r>
      <w:r w:rsidR="00B909DF">
        <w:t>electrical</w:t>
      </w:r>
      <w:r w:rsidR="00AE7624">
        <w:t xml:space="preserve"> matrix</w:t>
      </w:r>
      <w:r w:rsidR="00CB6A3B">
        <w:t>;</w:t>
      </w:r>
      <w:r w:rsidR="00AE7624">
        <w:t xml:space="preserve"> and voluntary</w:t>
      </w:r>
      <w:r w:rsidR="00CB6A3B">
        <w:t xml:space="preserve"> sign</w:t>
      </w:r>
      <w:r w:rsidR="00AE7624">
        <w:t xml:space="preserve"> commitments in climate agreements make Brazil a “green country</w:t>
      </w:r>
      <w:r w:rsidR="001C0954">
        <w:rPr>
          <w:noProof/>
        </w:rPr>
        <w:t>.”</w:t>
      </w:r>
      <w:r w:rsidR="00AE7624">
        <w:t xml:space="preserve"> Howe</w:t>
      </w:r>
      <w:r w:rsidR="001C0954">
        <w:t xml:space="preserve">ver, </w:t>
      </w:r>
      <w:r w:rsidR="00B909DF" w:rsidRPr="00B909DF">
        <w:rPr>
          <w:noProof/>
        </w:rPr>
        <w:t>a closer assessment</w:t>
      </w:r>
      <w:r w:rsidR="001C0954">
        <w:t xml:space="preserve"> of the agreements and the energy policy in </w:t>
      </w:r>
      <w:r w:rsidR="001C0954" w:rsidRPr="00B909DF">
        <w:rPr>
          <w:noProof/>
        </w:rPr>
        <w:t>place</w:t>
      </w:r>
      <w:r w:rsidR="001C0954">
        <w:t xml:space="preserve"> </w:t>
      </w:r>
      <w:r w:rsidR="001C0954" w:rsidRPr="001C0954">
        <w:rPr>
          <w:noProof/>
        </w:rPr>
        <w:t>lead</w:t>
      </w:r>
      <w:r w:rsidR="00B909DF">
        <w:rPr>
          <w:noProof/>
        </w:rPr>
        <w:t>s</w:t>
      </w:r>
      <w:r w:rsidR="001C0954">
        <w:t xml:space="preserve"> to to another conclusion.</w:t>
      </w:r>
    </w:p>
    <w:p w14:paraId="5FE8CD7D" w14:textId="77777777" w:rsidR="00A726DC" w:rsidRDefault="00AE7624" w:rsidP="00A726DC">
      <w:pPr>
        <w:pStyle w:val="texto"/>
      </w:pPr>
      <w:r>
        <w:t>Deforestation was the largest GHG</w:t>
      </w:r>
      <w:r w:rsidR="00C06BEA">
        <w:t xml:space="preserve"> emission</w:t>
      </w:r>
      <w:r>
        <w:t xml:space="preserve"> in the country. Policies deployed</w:t>
      </w:r>
      <w:r w:rsidR="00C06BEA">
        <w:t xml:space="preserve"> to avoid illegal deforestation</w:t>
      </w:r>
      <w:r>
        <w:t xml:space="preserve"> made de carbon emission from </w:t>
      </w:r>
      <w:r w:rsidR="00C06BEA">
        <w:t>the sector</w:t>
      </w:r>
      <w:r>
        <w:t xml:space="preserve"> decrease from </w:t>
      </w:r>
      <w:r w:rsidR="005E3AC8">
        <w:t>2.32</w:t>
      </w:r>
      <w:r>
        <w:t xml:space="preserve"> </w:t>
      </w:r>
      <w:r w:rsidRPr="007064B8">
        <w:t>CO</w:t>
      </w:r>
      <w:r w:rsidRPr="007064B8">
        <w:rPr>
          <w:vertAlign w:val="subscript"/>
        </w:rPr>
        <w:t>2</w:t>
      </w:r>
      <w:r w:rsidRPr="007064B8">
        <w:t>eq</w:t>
      </w:r>
      <w:r>
        <w:t xml:space="preserve"> in 2005 to 0.88 </w:t>
      </w:r>
      <w:r w:rsidRPr="007064B8">
        <w:t>CO</w:t>
      </w:r>
      <w:r w:rsidRPr="007064B8">
        <w:rPr>
          <w:vertAlign w:val="subscript"/>
        </w:rPr>
        <w:t>2</w:t>
      </w:r>
      <w:r w:rsidRPr="007064B8">
        <w:t>eq</w:t>
      </w:r>
      <w:r>
        <w:t xml:space="preserve"> in 2015.</w:t>
      </w:r>
      <w:r w:rsidR="005E3AC8">
        <w:t xml:space="preserve"> </w:t>
      </w:r>
      <w:r w:rsidR="00B909DF" w:rsidRPr="00B909DF">
        <w:rPr>
          <w:noProof/>
        </w:rPr>
        <w:t>According</w:t>
      </w:r>
      <w:r w:rsidR="00B909DF">
        <w:rPr>
          <w:noProof/>
        </w:rPr>
        <w:t xml:space="preserve"> to</w:t>
      </w:r>
      <w:r w:rsidR="00B909DF">
        <w:t xml:space="preserve"> the Paris Agreement signed by Brazil, the country </w:t>
      </w:r>
      <w:r w:rsidR="00B909DF">
        <w:lastRenderedPageBreak/>
        <w:t xml:space="preserve">by 2030 should have emissions of </w:t>
      </w:r>
      <w:r w:rsidR="00B909DF">
        <w:t xml:space="preserve">1.41 </w:t>
      </w:r>
      <w:r w:rsidR="00B909DF" w:rsidRPr="007064B8">
        <w:t>CO</w:t>
      </w:r>
      <w:r w:rsidR="00B909DF" w:rsidRPr="007064B8">
        <w:rPr>
          <w:vertAlign w:val="subscript"/>
        </w:rPr>
        <w:t>2</w:t>
      </w:r>
      <w:r w:rsidR="00B909DF" w:rsidRPr="007064B8">
        <w:t>eq</w:t>
      </w:r>
      <w:r w:rsidR="00B909DF">
        <w:t xml:space="preserve"> (37% of the </w:t>
      </w:r>
      <w:r w:rsidR="00B909DF">
        <w:t>2005’s level</w:t>
      </w:r>
      <w:r w:rsidR="00B909DF">
        <w:t>).</w:t>
      </w:r>
      <w:r w:rsidR="00A726DC">
        <w:t xml:space="preserve"> </w:t>
      </w:r>
      <w:r w:rsidR="00A726DC">
        <w:t xml:space="preserve">Therefore, in 2015, Brazil already accomplished 61% of its reduction goals. </w:t>
      </w:r>
    </w:p>
    <w:p w14:paraId="20EC7E81" w14:textId="46726723" w:rsidR="00C06BEA" w:rsidRDefault="001C0954" w:rsidP="001C0954">
      <w:pPr>
        <w:pStyle w:val="texto"/>
      </w:pPr>
      <w:r>
        <w:t xml:space="preserve">The emission reduction shows the </w:t>
      </w:r>
      <w:r w:rsidRPr="001C0954">
        <w:rPr>
          <w:noProof/>
        </w:rPr>
        <w:t>sustainable</w:t>
      </w:r>
      <w:r>
        <w:t xml:space="preserve"> image of Brazil to the rest of the countries.</w:t>
      </w:r>
      <w:r w:rsidR="00C06BEA">
        <w:t xml:space="preserve"> However, in 2008, when </w:t>
      </w:r>
      <w:r w:rsidR="00A726DC">
        <w:t>Brazil</w:t>
      </w:r>
      <w:r w:rsidR="00C06BEA">
        <w:t xml:space="preserve"> made its </w:t>
      </w:r>
      <w:r w:rsidR="00A726DC">
        <w:t xml:space="preserve">first </w:t>
      </w:r>
      <w:r w:rsidR="00C06BEA">
        <w:t xml:space="preserve">voluntary commitment, it had already </w:t>
      </w:r>
      <w:r w:rsidR="00CF76F2">
        <w:t xml:space="preserve">accomplished 43% of </w:t>
      </w:r>
      <w:r w:rsidR="00A726DC">
        <w:t>the</w:t>
      </w:r>
      <w:r w:rsidR="00CF76F2">
        <w:t xml:space="preserve"> climate agreement </w:t>
      </w:r>
      <w:r w:rsidR="00980494">
        <w:t>goal</w:t>
      </w:r>
      <w:r w:rsidR="00CF76F2">
        <w:t>.</w:t>
      </w:r>
      <w:r w:rsidR="00980494">
        <w:t xml:space="preserve"> Therefore, just keep controlling deforestation would lead Brazil to conclude its target. </w:t>
      </w:r>
      <w:r>
        <w:t>However</w:t>
      </w:r>
      <w:r w:rsidR="00980494">
        <w:t xml:space="preserve">, an evaluation of other two GHG </w:t>
      </w:r>
      <w:r w:rsidR="00980494" w:rsidRPr="001C0954">
        <w:rPr>
          <w:noProof/>
        </w:rPr>
        <w:t>sector</w:t>
      </w:r>
      <w:r>
        <w:rPr>
          <w:noProof/>
        </w:rPr>
        <w:t>s</w:t>
      </w:r>
      <w:r>
        <w:t xml:space="preserve">s (energy and agriculture/livestock) in Brazil </w:t>
      </w:r>
      <w:r w:rsidR="00A726DC">
        <w:t xml:space="preserve">shows that other sectors emission </w:t>
      </w:r>
      <w:r w:rsidR="00A726DC" w:rsidRPr="00A30791">
        <w:rPr>
          <w:noProof/>
        </w:rPr>
        <w:t>are</w:t>
      </w:r>
      <w:r w:rsidR="00A726DC">
        <w:t xml:space="preserve"> increasing</w:t>
      </w:r>
      <w:r>
        <w:t xml:space="preserve"> (</w:t>
      </w:r>
      <w:r>
        <w:fldChar w:fldCharType="begin"/>
      </w:r>
      <w:r>
        <w:instrText xml:space="preserve"> REF _Ref477779220 \h </w:instrText>
      </w:r>
      <w:r>
        <w:fldChar w:fldCharType="separate"/>
      </w:r>
      <w:r w:rsidR="00A22E4D" w:rsidRPr="00B57213">
        <w:t xml:space="preserve">Chart </w:t>
      </w:r>
      <w:r w:rsidR="00A22E4D">
        <w:rPr>
          <w:noProof/>
        </w:rPr>
        <w:t>6</w:t>
      </w:r>
      <w:r>
        <w:fldChar w:fldCharType="end"/>
      </w:r>
      <w:r>
        <w:t>).</w:t>
      </w:r>
    </w:p>
    <w:p w14:paraId="1E347C17" w14:textId="5C88FBE0" w:rsidR="00980494" w:rsidRDefault="00980494" w:rsidP="00B060EF">
      <w:pPr>
        <w:pStyle w:val="texto"/>
      </w:pPr>
      <w:r>
        <w:t xml:space="preserve">Considering the growth in population, which impacts in more energy and food supply, Brazilian government needs policies that can reduce carbon emission and at the same time attend the necessities of its citizens. </w:t>
      </w:r>
      <w:r w:rsidR="005E3AC8">
        <w:t xml:space="preserve">The energy sector in Brazil has </w:t>
      </w:r>
      <w:r>
        <w:t>raised</w:t>
      </w:r>
      <w:r w:rsidR="005E3AC8">
        <w:t xml:space="preserve"> its carbon emission</w:t>
      </w:r>
      <w:r>
        <w:t xml:space="preserve"> (</w:t>
      </w:r>
      <w:r>
        <w:fldChar w:fldCharType="begin"/>
      </w:r>
      <w:r>
        <w:instrText xml:space="preserve"> REF _Ref477779220 \h </w:instrText>
      </w:r>
      <w:r>
        <w:fldChar w:fldCharType="separate"/>
      </w:r>
      <w:r w:rsidR="00A22E4D" w:rsidRPr="00B57213">
        <w:t xml:space="preserve">Chart </w:t>
      </w:r>
      <w:r w:rsidR="00A22E4D">
        <w:rPr>
          <w:noProof/>
        </w:rPr>
        <w:t>6</w:t>
      </w:r>
      <w:r>
        <w:fldChar w:fldCharType="end"/>
      </w:r>
      <w:r>
        <w:t>)</w:t>
      </w:r>
      <w:r w:rsidR="005E3AC8">
        <w:t xml:space="preserve">. </w:t>
      </w:r>
      <w:r w:rsidR="00B060EF">
        <w:t xml:space="preserve">The data shows that in 2015 the sector had an increase of </w:t>
      </w:r>
      <w:r w:rsidR="00833A56">
        <w:t>145% in comparison to 2005 (</w:t>
      </w:r>
      <w:r w:rsidR="00833A56">
        <w:fldChar w:fldCharType="begin"/>
      </w:r>
      <w:r w:rsidR="00833A56">
        <w:instrText xml:space="preserve"> REF _Ref477779220 \h </w:instrText>
      </w:r>
      <w:r w:rsidR="00833A56">
        <w:fldChar w:fldCharType="separate"/>
      </w:r>
      <w:r w:rsidR="00A22E4D" w:rsidRPr="00B57213">
        <w:t xml:space="preserve">Chart </w:t>
      </w:r>
      <w:r w:rsidR="00A22E4D">
        <w:rPr>
          <w:noProof/>
        </w:rPr>
        <w:t>6</w:t>
      </w:r>
      <w:r w:rsidR="00833A56">
        <w:fldChar w:fldCharType="end"/>
      </w:r>
      <w:r w:rsidR="00833A56">
        <w:t xml:space="preserve">). </w:t>
      </w:r>
      <w:r w:rsidR="00B060EF">
        <w:t xml:space="preserve">There are two main reasons for that. First, Brazil has </w:t>
      </w:r>
      <w:r>
        <w:t>incremented</w:t>
      </w:r>
      <w:r w:rsidR="00B060EF">
        <w:t xml:space="preserve"> oil production and consumption. Second,</w:t>
      </w:r>
      <w:r>
        <w:t xml:space="preserve"> Brazil has adopted investments in fossil fuel power plants (coal</w:t>
      </w:r>
      <w:r w:rsidR="00A30791">
        <w:t>, oil,</w:t>
      </w:r>
      <w:r>
        <w:t xml:space="preserve"> and natural gas) as</w:t>
      </w:r>
      <w:r w:rsidR="001C0954">
        <w:t xml:space="preserve"> an</w:t>
      </w:r>
      <w:r>
        <w:t xml:space="preserve"> </w:t>
      </w:r>
      <w:r w:rsidRPr="001C0954">
        <w:rPr>
          <w:noProof/>
        </w:rPr>
        <w:t>alternative</w:t>
      </w:r>
      <w:r>
        <w:t xml:space="preserve"> source of electricity generation.</w:t>
      </w:r>
      <w:r w:rsidR="001C0954">
        <w:t xml:space="preserve"> From 2002</w:t>
      </w:r>
      <w:r w:rsidR="002D3D0A">
        <w:t xml:space="preserve"> to 2015, the power generation from non-renewables rose from </w:t>
      </w:r>
      <w:r w:rsidR="001C0954">
        <w:t>2,753</w:t>
      </w:r>
      <w:r w:rsidR="002D3D0A">
        <w:t>MW to 4</w:t>
      </w:r>
      <w:r w:rsidR="001C0954">
        <w:t>4,067</w:t>
      </w:r>
      <w:r w:rsidR="002D3D0A">
        <w:t xml:space="preserve">MW </w:t>
      </w:r>
      <w:r w:rsidR="001C0954">
        <w:t>(SEEG, 2015)</w:t>
      </w:r>
      <w:r w:rsidR="00100AD0">
        <w:t>.</w:t>
      </w:r>
      <w:r w:rsidR="00100AD0" w:rsidRPr="00100AD0">
        <w:t xml:space="preserve"> </w:t>
      </w:r>
      <w:r w:rsidR="00A30791" w:rsidRPr="00A30791">
        <w:rPr>
          <w:noProof/>
        </w:rPr>
        <w:t>Further,</w:t>
      </w:r>
      <w:r w:rsidR="00100AD0">
        <w:t xml:space="preserve"> the forecast of the Brazilian </w:t>
      </w:r>
      <w:r w:rsidR="00100AD0" w:rsidRPr="007064B8">
        <w:t>CO</w:t>
      </w:r>
      <w:r w:rsidR="00100AD0" w:rsidRPr="007064B8">
        <w:rPr>
          <w:vertAlign w:val="subscript"/>
        </w:rPr>
        <w:t>2</w:t>
      </w:r>
      <w:r w:rsidR="00100AD0" w:rsidRPr="007064B8">
        <w:t>eq</w:t>
      </w:r>
      <w:r w:rsidR="00100AD0">
        <w:t xml:space="preserve"> emission in the sector tends to increase in the following decades.</w:t>
      </w:r>
    </w:p>
    <w:p w14:paraId="2EF192FB" w14:textId="7A23CF8D" w:rsidR="00100AD0" w:rsidRDefault="00100AD0" w:rsidP="00100AD0">
      <w:pPr>
        <w:pStyle w:val="texto"/>
      </w:pPr>
      <w:r w:rsidRPr="007A002B">
        <w:t xml:space="preserve">Problems regarding GHG emission and pre-salt </w:t>
      </w:r>
      <w:r w:rsidRPr="00892F9B">
        <w:rPr>
          <w:noProof/>
        </w:rPr>
        <w:t>are not restricted</w:t>
      </w:r>
      <w:r w:rsidRPr="007A002B">
        <w:t xml:space="preserve"> to burning fossil fuel. The high CO</w:t>
      </w:r>
      <w:r w:rsidRPr="007A002B">
        <w:rPr>
          <w:vertAlign w:val="subscript"/>
        </w:rPr>
        <w:t>2</w:t>
      </w:r>
      <w:r w:rsidRPr="007A002B">
        <w:t xml:space="preserve"> concentration inside the deposits and the risks of the project also </w:t>
      </w:r>
      <w:r w:rsidRPr="00892F9B">
        <w:rPr>
          <w:noProof/>
        </w:rPr>
        <w:t>bring</w:t>
      </w:r>
      <w:r w:rsidRPr="007A002B">
        <w:t xml:space="preserve"> serious concerns. Although there are studies and </w:t>
      </w:r>
      <w:r w:rsidRPr="00892F9B">
        <w:rPr>
          <w:noProof/>
        </w:rPr>
        <w:t>spe</w:t>
      </w:r>
      <w:r>
        <w:rPr>
          <w:noProof/>
        </w:rPr>
        <w:t>e</w:t>
      </w:r>
      <w:r w:rsidRPr="00892F9B">
        <w:rPr>
          <w:noProof/>
        </w:rPr>
        <w:t>ches</w:t>
      </w:r>
      <w:r w:rsidRPr="007A002B">
        <w:t xml:space="preserve"> suggesting storage carbon and also injection of the CO</w:t>
      </w:r>
      <w:r w:rsidRPr="007A002B">
        <w:rPr>
          <w:vertAlign w:val="subscript"/>
        </w:rPr>
        <w:t>2</w:t>
      </w:r>
      <w:r w:rsidRPr="007A002B">
        <w:t xml:space="preserve"> into the wells, it is unknown whether or not the technology have been applied in the fields, how much carbon dioxide have </w:t>
      </w:r>
      <w:r w:rsidRPr="00892F9B">
        <w:rPr>
          <w:noProof/>
        </w:rPr>
        <w:t>been used</w:t>
      </w:r>
      <w:r w:rsidRPr="007A002B">
        <w:t xml:space="preserve"> and how much remain. </w:t>
      </w:r>
    </w:p>
    <w:p w14:paraId="4ADE3F98" w14:textId="130B1423" w:rsidR="00151A7A" w:rsidRDefault="00151A7A" w:rsidP="00100AD0">
      <w:pPr>
        <w:pStyle w:val="texto"/>
      </w:pPr>
    </w:p>
    <w:p w14:paraId="2B10410F" w14:textId="6E4AC561" w:rsidR="00151A7A" w:rsidRDefault="00151A7A" w:rsidP="00100AD0">
      <w:pPr>
        <w:pStyle w:val="texto"/>
      </w:pPr>
    </w:p>
    <w:p w14:paraId="0CCD61CB" w14:textId="48B1ACA5" w:rsidR="00833A56" w:rsidRPr="00B57213" w:rsidRDefault="00833A56" w:rsidP="00833A56">
      <w:pPr>
        <w:pStyle w:val="Caption"/>
      </w:pPr>
      <w:bookmarkStart w:id="7" w:name="_Ref477779220"/>
      <w:r w:rsidRPr="00B57213">
        <w:lastRenderedPageBreak/>
        <w:t xml:space="preserve">Chart </w:t>
      </w:r>
      <w:r w:rsidRPr="00B57213">
        <w:fldChar w:fldCharType="begin"/>
      </w:r>
      <w:r w:rsidRPr="00B57213">
        <w:instrText xml:space="preserve"> SEQ Chart \* ARABIC </w:instrText>
      </w:r>
      <w:r w:rsidRPr="00B57213">
        <w:fldChar w:fldCharType="separate"/>
      </w:r>
      <w:r w:rsidR="00A22E4D">
        <w:rPr>
          <w:noProof/>
        </w:rPr>
        <w:t>6</w:t>
      </w:r>
      <w:r w:rsidRPr="00B57213">
        <w:fldChar w:fldCharType="end"/>
      </w:r>
      <w:bookmarkEnd w:id="7"/>
      <w:r w:rsidRPr="00B57213">
        <w:t>.</w:t>
      </w:r>
      <w:r>
        <w:t xml:space="preserve"> Energy and agriculture/livestock</w:t>
      </w:r>
      <w:r w:rsidRPr="00B57213">
        <w:t xml:space="preserve"> </w:t>
      </w:r>
      <w:r>
        <w:t>g</w:t>
      </w:r>
      <w:r w:rsidRPr="00B57213">
        <w:t>reenhouse gases emission in Brazil 1990-201</w:t>
      </w:r>
      <w:r>
        <w:t>5</w:t>
      </w:r>
      <w:r w:rsidRPr="00B57213">
        <w:t>, in GtCO2</w:t>
      </w:r>
      <w:r>
        <w:t>eq</w:t>
      </w:r>
    </w:p>
    <w:p w14:paraId="36BFB430" w14:textId="56DEEDF6" w:rsidR="005E3AC8" w:rsidRDefault="00833A56" w:rsidP="00833A56">
      <w:pPr>
        <w:pStyle w:val="picture"/>
      </w:pPr>
      <w:r>
        <w:drawing>
          <wp:inline distT="0" distB="0" distL="0" distR="0" wp14:anchorId="415BDFB7" wp14:editId="5BE1F078">
            <wp:extent cx="5762625" cy="2352675"/>
            <wp:effectExtent l="0" t="0" r="0" b="0"/>
            <wp:docPr id="4" name="Chart 4">
              <a:extLst xmlns:a="http://schemas.openxmlformats.org/drawingml/2006/main">
                <a:ext uri="{FF2B5EF4-FFF2-40B4-BE49-F238E27FC236}">
                  <a16:creationId xmlns:a16="http://schemas.microsoft.com/office/drawing/2014/main" id="{D4C64745-02FE-4F09-A704-CD4156B361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13E5571" w14:textId="77777777" w:rsidR="00833A56" w:rsidRPr="008975F3" w:rsidRDefault="00833A56" w:rsidP="00833A56">
      <w:pPr>
        <w:pStyle w:val="Source"/>
      </w:pPr>
      <w:r w:rsidRPr="008975F3">
        <w:t>Source System Study Greenhouse Gas Emissions Estimates (SEEG) retrieved from http://plataforma.seeg.eco.br/total_emission</w:t>
      </w:r>
    </w:p>
    <w:p w14:paraId="68F8CEF3" w14:textId="0469AFB0" w:rsidR="005E3AC8" w:rsidRDefault="00AE7624" w:rsidP="00AE7624">
      <w:pPr>
        <w:pStyle w:val="texto"/>
      </w:pPr>
      <w:r>
        <w:t xml:space="preserve">NRDC (2015) claims that Brazil </w:t>
      </w:r>
      <w:r w:rsidR="00151A7A">
        <w:t>commited</w:t>
      </w:r>
      <w:r>
        <w:t xml:space="preserve"> to zero illegal deforestation by 2030 in the Amazon region. Interestingly, the new hydropower </w:t>
      </w:r>
      <w:r w:rsidR="005E3AC8">
        <w:t>to be implemented in Amazon will impact, among other things, in def</w:t>
      </w:r>
      <w:r w:rsidR="00151A7A">
        <w:t>orestation (legal and illegal).</w:t>
      </w:r>
    </w:p>
    <w:p w14:paraId="4CED7961" w14:textId="16054ECC" w:rsidR="00100AD0" w:rsidRDefault="00100AD0" w:rsidP="00AE7624">
      <w:pPr>
        <w:pStyle w:val="texto"/>
      </w:pPr>
      <w:r>
        <w:t xml:space="preserve">In Brazil, </w:t>
      </w:r>
      <w:r w:rsidRPr="00A10031">
        <w:t xml:space="preserve">energy policies budget distribution for the next </w:t>
      </w:r>
      <w:r w:rsidRPr="00892F9B">
        <w:rPr>
          <w:noProof/>
        </w:rPr>
        <w:t>10</w:t>
      </w:r>
      <w:r w:rsidRPr="00A10031">
        <w:t xml:space="preserve"> years </w:t>
      </w:r>
      <w:r>
        <w:rPr>
          <w:noProof/>
        </w:rPr>
        <w:t>indicate</w:t>
      </w:r>
      <w:r w:rsidRPr="00892F9B">
        <w:rPr>
          <w:noProof/>
        </w:rPr>
        <w:t>s</w:t>
      </w:r>
      <w:r w:rsidRPr="00A10031">
        <w:t xml:space="preserve"> </w:t>
      </w:r>
      <w:r w:rsidRPr="00892F9B">
        <w:rPr>
          <w:noProof/>
        </w:rPr>
        <w:t>that</w:t>
      </w:r>
      <w:r w:rsidRPr="00A10031">
        <w:t xml:space="preserve"> 72.3%</w:t>
      </w:r>
      <w:r>
        <w:t xml:space="preserve"> of the financial resources </w:t>
      </w:r>
      <w:r w:rsidR="00D24CF6">
        <w:t>are</w:t>
      </w:r>
      <w:r>
        <w:t xml:space="preserve"> directed to</w:t>
      </w:r>
      <w:r w:rsidRPr="00A10031">
        <w:t xml:space="preserve"> fossil fuels, 3.9% to </w:t>
      </w:r>
      <w:r w:rsidRPr="00151A7A">
        <w:rPr>
          <w:noProof/>
        </w:rPr>
        <w:t>wind</w:t>
      </w:r>
      <w:r w:rsidRPr="00A10031">
        <w:t xml:space="preserve"> and solar</w:t>
      </w:r>
      <w:r w:rsidR="001C0954">
        <w:t xml:space="preserve"> power, and about 7% to biofuel (PDE 2024).</w:t>
      </w:r>
      <w:r w:rsidRPr="00A10031">
        <w:t xml:space="preserve"> A country committed to clean energy and climate change would make investments to decrease oil consumption and increase renewable energy. Brazilian policies are doing exactly the </w:t>
      </w:r>
      <w:r w:rsidRPr="00892F9B">
        <w:rPr>
          <w:noProof/>
        </w:rPr>
        <w:t>o</w:t>
      </w:r>
      <w:r>
        <w:rPr>
          <w:noProof/>
        </w:rPr>
        <w:t>p</w:t>
      </w:r>
      <w:r w:rsidRPr="00892F9B">
        <w:rPr>
          <w:noProof/>
        </w:rPr>
        <w:t>posite</w:t>
      </w:r>
      <w:r w:rsidRPr="00A10031">
        <w:t>.</w:t>
      </w:r>
    </w:p>
    <w:p w14:paraId="4BEA23C8" w14:textId="43CCA1B3" w:rsidR="00B702E6" w:rsidRDefault="00273417" w:rsidP="00AE7624">
      <w:pPr>
        <w:pStyle w:val="texto"/>
      </w:pPr>
      <w:r>
        <w:t xml:space="preserve">Clearly, Brazilian current and planned energy policy are not going towards decrease carbon emission or fulfill social justice. Financial resources resulted from the investments in oil and hydroelectricity are not being redirected to subsidize other clean energies or promote environmental justice. Instead, they are financing more dirty energy and corruption, which has been disclosure for the media since 2014. The called, ‘operation car </w:t>
      </w:r>
      <w:r w:rsidRPr="001C0954">
        <w:rPr>
          <w:noProof/>
        </w:rPr>
        <w:t>wash</w:t>
      </w:r>
      <w:r w:rsidR="001C0954">
        <w:rPr>
          <w:noProof/>
        </w:rPr>
        <w:t>,'</w:t>
      </w:r>
      <w:r>
        <w:t xml:space="preserve"> is a federal policy investigation of money laundry, which has already arrested CEOs</w:t>
      </w:r>
      <w:r w:rsidR="00B702E6">
        <w:t xml:space="preserve"> and politicians, and continuing investigating corruption in Petrobras and other constructions agreements in Brazil. </w:t>
      </w:r>
    </w:p>
    <w:p w14:paraId="2D03584A" w14:textId="1C642B5E" w:rsidR="007152B2" w:rsidRPr="001C0954" w:rsidRDefault="007152B2" w:rsidP="007152B2">
      <w:pPr>
        <w:pStyle w:val="texto"/>
      </w:pPr>
      <w:r w:rsidRPr="001C0954">
        <w:lastRenderedPageBreak/>
        <w:t xml:space="preserve">Therefore, evaluating the commitments of Brazil and its energy policies, the conclusion is although it seems that the Country is engaged with climate change, the policies and investments show a paradox. Brazil has not only not been invested enough to develop renewable energy but also present in serious risks to become one of the most emitters of greenhouse gasses. </w:t>
      </w:r>
      <w:r w:rsidR="00151A7A">
        <w:t xml:space="preserve">In fact, </w:t>
      </w:r>
      <w:r w:rsidR="00151A7A">
        <w:rPr>
          <w:shd w:val="clear" w:color="auto" w:fill="FFFFFF"/>
        </w:rPr>
        <w:t>Brazil is engaging in state-sponsored greenwashing of its international climate change commitments.</w:t>
      </w:r>
    </w:p>
    <w:p w14:paraId="3068AEA5" w14:textId="77777777" w:rsidR="007152B2" w:rsidRDefault="007152B2" w:rsidP="00401E7F">
      <w:pPr>
        <w:pStyle w:val="texto"/>
      </w:pPr>
    </w:p>
    <w:p w14:paraId="54DB1934" w14:textId="2B291E70" w:rsidR="00401E7F" w:rsidRPr="007956C2" w:rsidRDefault="00755FFC" w:rsidP="00401E7F">
      <w:pPr>
        <w:pStyle w:val="texto"/>
      </w:pPr>
      <w:r w:rsidRPr="007956C2">
        <w:br w:type="page"/>
      </w:r>
    </w:p>
    <w:p w14:paraId="7462C2F1" w14:textId="77777777" w:rsidR="00401E7F" w:rsidRPr="00401E7F" w:rsidRDefault="00755FFC" w:rsidP="00401E7F">
      <w:pPr>
        <w:pStyle w:val="Heading1"/>
      </w:pPr>
      <w:r w:rsidRPr="00401E7F">
        <w:lastRenderedPageBreak/>
        <w:t>Reference</w:t>
      </w:r>
    </w:p>
    <w:p w14:paraId="2D416574" w14:textId="77777777" w:rsidR="003A63BF" w:rsidRPr="003A63BF" w:rsidRDefault="00755FFC" w:rsidP="003A63BF">
      <w:pPr>
        <w:pStyle w:val="EndNoteBibliography"/>
        <w:ind w:left="720" w:hanging="720"/>
      </w:pPr>
      <w:r>
        <w:fldChar w:fldCharType="begin"/>
      </w:r>
      <w:r w:rsidRPr="00401E7F">
        <w:instrText xml:space="preserve"> ADDIN EN.REFLIST </w:instrText>
      </w:r>
      <w:r>
        <w:fldChar w:fldCharType="separate"/>
      </w:r>
      <w:r w:rsidR="003A63BF" w:rsidRPr="003A63BF">
        <w:t xml:space="preserve">Bowen, F. (2014). </w:t>
      </w:r>
      <w:r w:rsidR="003A63BF" w:rsidRPr="003A63BF">
        <w:rPr>
          <w:i/>
        </w:rPr>
        <w:t>After greenwashing: Symbolic corporate environmentalism and society</w:t>
      </w:r>
      <w:r w:rsidR="003A63BF" w:rsidRPr="003A63BF">
        <w:t>: Cambridge University Press.</w:t>
      </w:r>
    </w:p>
    <w:p w14:paraId="115A7AEB" w14:textId="592F820E" w:rsidR="003A63BF" w:rsidRPr="003A63BF" w:rsidRDefault="003A63BF" w:rsidP="003A63BF">
      <w:pPr>
        <w:pStyle w:val="EndNoteBibliography"/>
        <w:ind w:left="720" w:hanging="720"/>
      </w:pPr>
      <w:r w:rsidRPr="003A63BF">
        <w:t xml:space="preserve">Cavaliero, C. K. N., &amp; Da Silva, E. P. (2005). Electricity generation:: regulatory mechanisms to incentive renewable alternative energy sources in Brazil. </w:t>
      </w:r>
      <w:r w:rsidRPr="003A63BF">
        <w:rPr>
          <w:i/>
        </w:rPr>
        <w:t>Energy Policy, 33</w:t>
      </w:r>
      <w:r w:rsidRPr="003A63BF">
        <w:t>(13), 1745-1752. doi:</w:t>
      </w:r>
      <w:hyperlink r:id="rId20" w:history="1">
        <w:r w:rsidRPr="003A63BF">
          <w:rPr>
            <w:rStyle w:val="Hyperlink"/>
          </w:rPr>
          <w:t>http://dx.doi.org/10.1016/j.enpol.2004.02.012</w:t>
        </w:r>
      </w:hyperlink>
    </w:p>
    <w:p w14:paraId="0D6C9FFA" w14:textId="77777777" w:rsidR="003A63BF" w:rsidRPr="003A63BF" w:rsidRDefault="003A63BF" w:rsidP="003A63BF">
      <w:pPr>
        <w:pStyle w:val="EndNoteBibliography"/>
        <w:ind w:left="720" w:hanging="720"/>
      </w:pPr>
      <w:r w:rsidRPr="003A63BF">
        <w:t xml:space="preserve">Collier, P. (2008). </w:t>
      </w:r>
      <w:r w:rsidRPr="003A63BF">
        <w:rPr>
          <w:i/>
        </w:rPr>
        <w:t>The bottom billion: Why the poorest countries are failing and what can be done about it</w:t>
      </w:r>
      <w:r w:rsidRPr="003A63BF">
        <w:t>: Oxford University Press, USA.</w:t>
      </w:r>
    </w:p>
    <w:p w14:paraId="11ABEA62" w14:textId="44D408B3" w:rsidR="003A63BF" w:rsidRPr="003A63BF" w:rsidRDefault="003A63BF" w:rsidP="003A63BF">
      <w:pPr>
        <w:pStyle w:val="EndNoteBibliography"/>
        <w:ind w:left="720" w:hanging="720"/>
      </w:pPr>
      <w:r w:rsidRPr="003A63BF">
        <w:t xml:space="preserve">Geller, H., Schaeffer, R., Szklo, A., &amp; Tolmasquim, M. (2004). Policies for advancing energy efficiency and renewable energy use in Brazil. </w:t>
      </w:r>
      <w:r w:rsidRPr="003A63BF">
        <w:rPr>
          <w:i/>
        </w:rPr>
        <w:t>Energy Policy, 32</w:t>
      </w:r>
      <w:r w:rsidRPr="003A63BF">
        <w:t>(12), 1437-1450. doi:</w:t>
      </w:r>
      <w:hyperlink r:id="rId21" w:history="1">
        <w:r w:rsidRPr="003A63BF">
          <w:rPr>
            <w:rStyle w:val="Hyperlink"/>
          </w:rPr>
          <w:t>http://dx.doi.org/10.1016/S0301-4215(03)00122-8</w:t>
        </w:r>
      </w:hyperlink>
    </w:p>
    <w:p w14:paraId="00077CAE" w14:textId="3592F26C" w:rsidR="003A63BF" w:rsidRPr="003A63BF" w:rsidRDefault="003A63BF" w:rsidP="003A63BF">
      <w:pPr>
        <w:pStyle w:val="EndNoteBibliography"/>
        <w:ind w:left="720" w:hanging="720"/>
      </w:pPr>
      <w:r w:rsidRPr="003A63BF">
        <w:t xml:space="preserve">Kumar, A., Kumar, K., Kaushik, N., Sharma, S., &amp; Mishra, S. (2010). Renewable energy in India: Current status and future potentials. </w:t>
      </w:r>
      <w:r w:rsidRPr="003A63BF">
        <w:rPr>
          <w:i/>
        </w:rPr>
        <w:t>Renewable and Sustainable Energy Reviews, 14</w:t>
      </w:r>
      <w:r w:rsidRPr="003A63BF">
        <w:t>(8), 2434-2442. doi:</w:t>
      </w:r>
      <w:hyperlink r:id="rId22" w:history="1">
        <w:r w:rsidRPr="003A63BF">
          <w:rPr>
            <w:rStyle w:val="Hyperlink"/>
          </w:rPr>
          <w:t>http://dx.doi.org/10.1016/j.rser.2010.04.003</w:t>
        </w:r>
      </w:hyperlink>
    </w:p>
    <w:p w14:paraId="571E1D1E" w14:textId="6FB8C539" w:rsidR="003A63BF" w:rsidRPr="003A63BF" w:rsidRDefault="003A63BF" w:rsidP="003A63BF">
      <w:pPr>
        <w:pStyle w:val="EndNoteBibliography"/>
        <w:ind w:left="720" w:hanging="720"/>
      </w:pPr>
      <w:r w:rsidRPr="003A63BF">
        <w:t xml:space="preserve">Lucena, A. F. P., Szklo, A. S., Schaeffer, R., &amp; Dutra, R. M. (2010). The vulnerability of wind power to climate change in Brazil. </w:t>
      </w:r>
      <w:r w:rsidRPr="003A63BF">
        <w:rPr>
          <w:i/>
        </w:rPr>
        <w:t>Renewable Energy, 35</w:t>
      </w:r>
      <w:r w:rsidRPr="003A63BF">
        <w:t>(5), 904-912. doi:</w:t>
      </w:r>
      <w:hyperlink r:id="rId23" w:history="1">
        <w:r w:rsidRPr="003A63BF">
          <w:rPr>
            <w:rStyle w:val="Hyperlink"/>
          </w:rPr>
          <w:t>http://dx.doi.org/10.1016/j.renene.2009.10.022</w:t>
        </w:r>
      </w:hyperlink>
    </w:p>
    <w:p w14:paraId="48C5270D" w14:textId="496C6D24" w:rsidR="003A63BF" w:rsidRPr="003A63BF" w:rsidRDefault="003A63BF" w:rsidP="003A63BF">
      <w:pPr>
        <w:pStyle w:val="EndNoteBibliography"/>
        <w:ind w:left="720" w:hanging="720"/>
      </w:pPr>
      <w:r w:rsidRPr="003A63BF">
        <w:t xml:space="preserve">Lucena, A. F. P., Szklo, A. S., Schaeffer, R., Souza, R. R., Borba, B. S. M. C., Costa, I. V. L., . . . Cunha, S. H. F. (2009). The vulnerability of renewable energy to climate change in Brazil. </w:t>
      </w:r>
      <w:r w:rsidRPr="003A63BF">
        <w:rPr>
          <w:i/>
        </w:rPr>
        <w:t>Energy Policy, 37</w:t>
      </w:r>
      <w:r w:rsidRPr="003A63BF">
        <w:t>(3), 879-889. doi:</w:t>
      </w:r>
      <w:hyperlink r:id="rId24" w:history="1">
        <w:r w:rsidRPr="003A63BF">
          <w:rPr>
            <w:rStyle w:val="Hyperlink"/>
          </w:rPr>
          <w:t>http://dx.doi.org/10.1016/j.enpol.2008.10.029</w:t>
        </w:r>
      </w:hyperlink>
    </w:p>
    <w:p w14:paraId="125942CB" w14:textId="203936DB" w:rsidR="003A63BF" w:rsidRPr="003A63BF" w:rsidRDefault="003A63BF" w:rsidP="003A63BF">
      <w:pPr>
        <w:pStyle w:val="EndNoteBibliography"/>
        <w:ind w:left="720" w:hanging="720"/>
      </w:pPr>
      <w:r w:rsidRPr="003A63BF">
        <w:t xml:space="preserve">Martins, F. R., &amp; Pereira, E. B. (2011). Enhancing information for solar and wind energy technology deployment in Brazil. </w:t>
      </w:r>
      <w:r w:rsidRPr="003A63BF">
        <w:rPr>
          <w:i/>
        </w:rPr>
        <w:t>Energy Policy, 39</w:t>
      </w:r>
      <w:r w:rsidRPr="003A63BF">
        <w:t>(7), 4378-4390. doi:</w:t>
      </w:r>
      <w:hyperlink r:id="rId25" w:history="1">
        <w:r w:rsidRPr="003A63BF">
          <w:rPr>
            <w:rStyle w:val="Hyperlink"/>
          </w:rPr>
          <w:t>http://dx.doi.org/10.1016/j.enpol.2011.04.058</w:t>
        </w:r>
      </w:hyperlink>
    </w:p>
    <w:p w14:paraId="6E2DFFE1" w14:textId="254CFEA7" w:rsidR="003A63BF" w:rsidRPr="003A63BF" w:rsidRDefault="003A63BF" w:rsidP="003A63BF">
      <w:pPr>
        <w:pStyle w:val="EndNoteBibliography"/>
        <w:ind w:left="720" w:hanging="720"/>
      </w:pPr>
      <w:r w:rsidRPr="003A63BF">
        <w:t xml:space="preserve">Pereira, M. G., Camacho, C. F., Freitas, M. A. V., &amp; Silva, N. F. d. (2012). The renewable energy market in Brazil: Current status and potential. </w:t>
      </w:r>
      <w:r w:rsidRPr="003A63BF">
        <w:rPr>
          <w:i/>
        </w:rPr>
        <w:t>Renewable and Sustainable Energy Reviews, 16</w:t>
      </w:r>
      <w:r w:rsidRPr="003A63BF">
        <w:t>(6), 3786-3802. doi:</w:t>
      </w:r>
      <w:hyperlink r:id="rId26" w:history="1">
        <w:r w:rsidRPr="003A63BF">
          <w:rPr>
            <w:rStyle w:val="Hyperlink"/>
          </w:rPr>
          <w:t>http://dx.doi.org/10.1016/j.rser.2012.03.024</w:t>
        </w:r>
      </w:hyperlink>
    </w:p>
    <w:p w14:paraId="231A1724" w14:textId="77777777" w:rsidR="003A63BF" w:rsidRPr="003A63BF" w:rsidRDefault="003A63BF" w:rsidP="003A63BF">
      <w:pPr>
        <w:pStyle w:val="EndNoteBibliography"/>
        <w:ind w:left="720" w:hanging="720"/>
      </w:pPr>
      <w:r w:rsidRPr="003A63BF">
        <w:t xml:space="preserve">Schaeffer, R., Szklo, A., Lucena, A. F. P. d., Soria, R., &amp; Chavez-Rodriguez, M. (2013). The Vulnerable Amazon: The Impact of Climate Change on the Untapped Potential of Hydropower Systems. </w:t>
      </w:r>
      <w:r w:rsidRPr="003A63BF">
        <w:rPr>
          <w:i/>
        </w:rPr>
        <w:t>IEEE Power and Energy Magazine, 11</w:t>
      </w:r>
      <w:r w:rsidRPr="003A63BF">
        <w:t>(3), 22-31. doi:10.1109/MPE.2013.2245584</w:t>
      </w:r>
    </w:p>
    <w:p w14:paraId="1D73AC79" w14:textId="77777777" w:rsidR="003A63BF" w:rsidRPr="003A63BF" w:rsidRDefault="003A63BF" w:rsidP="003A63BF">
      <w:pPr>
        <w:pStyle w:val="EndNoteBibliography"/>
        <w:ind w:left="720" w:hanging="720"/>
      </w:pPr>
      <w:r w:rsidRPr="003A63BF">
        <w:t xml:space="preserve">Schlosberg, D. (2009). </w:t>
      </w:r>
      <w:r w:rsidRPr="003A63BF">
        <w:rPr>
          <w:i/>
        </w:rPr>
        <w:t>Defining environmental justice: Theories, movements, and nature</w:t>
      </w:r>
      <w:r w:rsidRPr="003A63BF">
        <w:t>: Oxford University Press.</w:t>
      </w:r>
    </w:p>
    <w:p w14:paraId="53918451" w14:textId="3AF67F05" w:rsidR="00401E7F" w:rsidRPr="00BA6778" w:rsidRDefault="00755FFC" w:rsidP="00DD0E76">
      <w:pPr>
        <w:pStyle w:val="citation"/>
        <w:rPr>
          <w:lang w:val="pt-BR"/>
        </w:rPr>
      </w:pPr>
      <w:r>
        <w:fldChar w:fldCharType="end"/>
      </w:r>
      <w:r w:rsidRPr="00093760">
        <w:t xml:space="preserve">Tolmasquim, M.T., Rosa, L.P., Szklo, A.S., Schuller, M., Delgado, M.A., </w:t>
      </w:r>
      <w:r>
        <w:t>(</w:t>
      </w:r>
      <w:r w:rsidRPr="00093760">
        <w:t>1998</w:t>
      </w:r>
      <w:r>
        <w:t>)</w:t>
      </w:r>
      <w:r w:rsidRPr="00093760">
        <w:t xml:space="preserve">. </w:t>
      </w:r>
      <w:r w:rsidRPr="00BA6778">
        <w:rPr>
          <w:i/>
          <w:lang w:val="pt-BR"/>
        </w:rPr>
        <w:t>Tendencias da Eficiencia Eletrica no Brasil</w:t>
      </w:r>
      <w:r w:rsidRPr="00BA6778">
        <w:rPr>
          <w:lang w:val="pt-BR"/>
        </w:rPr>
        <w:t>. ENERGE/Eletrobras, Rio de Janeiro.</w:t>
      </w:r>
    </w:p>
    <w:p w14:paraId="108DF863" w14:textId="1E24715F" w:rsidR="00401E7F" w:rsidRDefault="00755FFC" w:rsidP="00DD0E76">
      <w:pPr>
        <w:pStyle w:val="citation"/>
      </w:pPr>
      <w:r>
        <w:t xml:space="preserve">Winrock International, 2002. </w:t>
      </w:r>
      <w:r w:rsidRPr="00BC6F7C">
        <w:rPr>
          <w:i/>
        </w:rPr>
        <w:t>Trade Guide on Renewable Energy in Brazil</w:t>
      </w:r>
      <w:r>
        <w:t xml:space="preserve">. US Agency for International Development, Washington, DC. Retrieved from </w:t>
      </w:r>
      <w:hyperlink r:id="rId27" w:history="1">
        <w:r w:rsidRPr="00DA13CF">
          <w:rPr>
            <w:rStyle w:val="Hyperlink"/>
          </w:rPr>
          <w:t>http://s3.amazonaws.com/zanran_storage/www.winrock.org/ContentPages/18904417.pdf</w:t>
        </w:r>
      </w:hyperlink>
    </w:p>
    <w:p w14:paraId="317EA317" w14:textId="771E06CD" w:rsidR="00401E7F" w:rsidRDefault="00755FFC" w:rsidP="00DD0E76">
      <w:pPr>
        <w:pStyle w:val="citation"/>
      </w:pPr>
      <w:r w:rsidRPr="00BA6778">
        <w:rPr>
          <w:lang w:val="pt-BR"/>
        </w:rPr>
        <w:t xml:space="preserve">CEPEL (2001). </w:t>
      </w:r>
      <w:r w:rsidRPr="00BA6778">
        <w:rPr>
          <w:i/>
          <w:lang w:val="pt-BR"/>
        </w:rPr>
        <w:t>Atlas do Potencial Eolico Brasileiro</w:t>
      </w:r>
      <w:r w:rsidRPr="00BA6778">
        <w:rPr>
          <w:lang w:val="pt-BR"/>
        </w:rPr>
        <w:t xml:space="preserve">. Ed. CEPEL, Rio de Janeiro. </w:t>
      </w:r>
      <w:r w:rsidRPr="003A1ABA">
        <w:t xml:space="preserve">Retrieved from </w:t>
      </w:r>
      <w:hyperlink r:id="rId28" w:history="1">
        <w:r w:rsidRPr="00DA13CF">
          <w:rPr>
            <w:rStyle w:val="Hyperlink"/>
          </w:rPr>
          <w:t>http://www.cresesb.cepel.br/publicacoes/download/atlas_eolico/Atlas%20do%20Potencial%20Eolico%20Brasileiro.pdf</w:t>
        </w:r>
      </w:hyperlink>
    </w:p>
    <w:p w14:paraId="62437AE0" w14:textId="77777777" w:rsidR="00401E7F" w:rsidRPr="002461F3" w:rsidRDefault="00755FFC" w:rsidP="00401E7F">
      <w:pPr>
        <w:pStyle w:val="EndNoteBibliography"/>
        <w:ind w:left="720" w:hanging="720"/>
      </w:pPr>
      <w:r w:rsidRPr="002461F3">
        <w:t xml:space="preserve">Ross, M. L. (2012). </w:t>
      </w:r>
      <w:r w:rsidRPr="002461F3">
        <w:rPr>
          <w:i/>
        </w:rPr>
        <w:t>The Oil Curse How Petroleum wealth shapes the development of nations</w:t>
      </w:r>
      <w:r w:rsidRPr="002461F3">
        <w:t>. New Jersey: Princeton University Press.</w:t>
      </w:r>
    </w:p>
    <w:p w14:paraId="51CDD531" w14:textId="77777777" w:rsidR="00401E7F" w:rsidRDefault="00755FFC" w:rsidP="00DD0E76">
      <w:pPr>
        <w:pStyle w:val="citation"/>
      </w:pPr>
      <w:r w:rsidRPr="006B7299">
        <w:t>ANEEL (2011</w:t>
      </w:r>
      <w:r>
        <w:t xml:space="preserve">) </w:t>
      </w:r>
      <w:r w:rsidRPr="006B7299">
        <w:rPr>
          <w:i/>
        </w:rPr>
        <w:t>BIG—Electricity Generation Database</w:t>
      </w:r>
      <w:r w:rsidRPr="006B7299">
        <w:t>.</w:t>
      </w:r>
      <w:r>
        <w:t xml:space="preserve"> </w:t>
      </w:r>
      <w:r w:rsidRPr="006B7299">
        <w:t>Available</w:t>
      </w:r>
      <w:r>
        <w:t xml:space="preserve"> </w:t>
      </w:r>
      <w:r w:rsidRPr="006B7299">
        <w:t>online</w:t>
      </w:r>
      <w:r>
        <w:t xml:space="preserve"> </w:t>
      </w:r>
      <w:r w:rsidRPr="006B7299">
        <w:t>at /http://www. aneell.gov.br/S. Ministry</w:t>
      </w:r>
      <w:r>
        <w:t xml:space="preserve"> </w:t>
      </w:r>
      <w:r w:rsidRPr="006B7299">
        <w:t>of</w:t>
      </w:r>
      <w:r>
        <w:t xml:space="preserve"> </w:t>
      </w:r>
      <w:r w:rsidRPr="006B7299">
        <w:t>Mines</w:t>
      </w:r>
      <w:r>
        <w:t xml:space="preserve"> </w:t>
      </w:r>
      <w:r w:rsidRPr="006B7299">
        <w:t>and</w:t>
      </w:r>
      <w:r>
        <w:t xml:space="preserve"> </w:t>
      </w:r>
      <w:r w:rsidRPr="006B7299">
        <w:t>Energy,</w:t>
      </w:r>
      <w:r>
        <w:t xml:space="preserve"> Brası</w:t>
      </w:r>
      <w:r w:rsidRPr="006B7299">
        <w:t>lia,</w:t>
      </w:r>
      <w:r>
        <w:t xml:space="preserve"> </w:t>
      </w:r>
      <w:r w:rsidRPr="006B7299">
        <w:t>Brazil</w:t>
      </w:r>
      <w:r>
        <w:t xml:space="preserve"> </w:t>
      </w:r>
      <w:r w:rsidRPr="006B7299">
        <w:t>(in</w:t>
      </w:r>
      <w:r>
        <w:t xml:space="preserve"> </w:t>
      </w:r>
      <w:r w:rsidRPr="006B7299">
        <w:t>portuguese).</w:t>
      </w:r>
    </w:p>
    <w:p w14:paraId="60788F44" w14:textId="55F7D6A4" w:rsidR="00401E7F" w:rsidRPr="006B7299" w:rsidRDefault="00755FFC" w:rsidP="00401E7F">
      <w:pPr>
        <w:pStyle w:val="EndNoteBibliography"/>
        <w:ind w:left="720" w:hanging="720"/>
      </w:pPr>
      <w:r w:rsidRPr="002461F3">
        <w:rPr>
          <w:lang w:val="pt-BR"/>
        </w:rPr>
        <w:lastRenderedPageBreak/>
        <w:t xml:space="preserve">Martins, F. R., &amp; Pereira, E. B. (2011). </w:t>
      </w:r>
      <w:r w:rsidRPr="002461F3">
        <w:t xml:space="preserve">Enhancing information for solar and wind energy technology deployment in Brazil. </w:t>
      </w:r>
      <w:r w:rsidRPr="002461F3">
        <w:rPr>
          <w:i/>
        </w:rPr>
        <w:t>Energy Policy, 39</w:t>
      </w:r>
      <w:r w:rsidRPr="002461F3">
        <w:t>(7), 4378-4390. doi:</w:t>
      </w:r>
      <w:hyperlink r:id="rId29" w:history="1">
        <w:r w:rsidRPr="002461F3">
          <w:rPr>
            <w:rStyle w:val="Hyperlink"/>
          </w:rPr>
          <w:t>http://dx.doi.org/10.1016/j.enpol.2011.04.058</w:t>
        </w:r>
      </w:hyperlink>
    </w:p>
    <w:p w14:paraId="0C1D1513" w14:textId="1FF22846" w:rsidR="00401E7F" w:rsidRPr="00EF2473" w:rsidRDefault="00755FFC" w:rsidP="00DD0E76">
      <w:pPr>
        <w:pStyle w:val="citation"/>
      </w:pPr>
      <w:r w:rsidRPr="00755FFC">
        <w:t xml:space="preserve">Brasil (2008). </w:t>
      </w:r>
      <w:r w:rsidRPr="00BA6778">
        <w:rPr>
          <w:i/>
          <w:lang w:val="pt-BR"/>
        </w:rPr>
        <w:t>Plano Nacional de Mudanca Climatica</w:t>
      </w:r>
      <w:r w:rsidRPr="00BA6778">
        <w:rPr>
          <w:lang w:val="pt-BR"/>
        </w:rPr>
        <w:t xml:space="preserve">. </w:t>
      </w:r>
      <w:r w:rsidRPr="00EF2473">
        <w:t xml:space="preserve">Retrieved from </w:t>
      </w:r>
      <w:hyperlink r:id="rId30" w:history="1">
        <w:r w:rsidRPr="00EF2473">
          <w:rPr>
            <w:rStyle w:val="Hyperlink"/>
            <w:color w:val="auto"/>
            <w:u w:val="none"/>
          </w:rPr>
          <w:t>http://www.mma.gov.br/estruturas/smcq_climaticas/_arquivos/plano_nacional_mudanca_clima.pdf</w:t>
        </w:r>
      </w:hyperlink>
    </w:p>
    <w:p w14:paraId="52BE268F" w14:textId="27FFBEFA" w:rsidR="00401E7F" w:rsidRPr="00EF2473" w:rsidRDefault="00755FFC" w:rsidP="00DD0E76">
      <w:pPr>
        <w:pStyle w:val="citation"/>
      </w:pPr>
      <w:r w:rsidRPr="00EF2473">
        <w:t xml:space="preserve">Cao, X. (2003). </w:t>
      </w:r>
      <w:r w:rsidRPr="00EF2473">
        <w:rPr>
          <w:noProof/>
        </w:rPr>
        <w:t>Climate change and energy development: implications for developing countries.</w:t>
      </w:r>
      <w:r w:rsidRPr="00EF2473">
        <w:t xml:space="preserve"> </w:t>
      </w:r>
      <w:r w:rsidRPr="00EF2473">
        <w:rPr>
          <w:i/>
        </w:rPr>
        <w:t>Resources Policy</w:t>
      </w:r>
      <w:r w:rsidRPr="00EF2473">
        <w:t xml:space="preserve">, 29, 61–67. </w:t>
      </w:r>
      <w:hyperlink r:id="rId31" w:tgtFrame="doilink" w:history="1">
        <w:r w:rsidRPr="00EF2473">
          <w:rPr>
            <w:rStyle w:val="Hyperlink"/>
            <w:color w:val="auto"/>
            <w:u w:val="none"/>
          </w:rPr>
          <w:t>doi:10.1016/j.resourpol.2004.05.001</w:t>
        </w:r>
      </w:hyperlink>
    </w:p>
    <w:p w14:paraId="63DA1FAD" w14:textId="194E437B" w:rsidR="00401E7F" w:rsidRPr="00EF2473" w:rsidRDefault="00755FFC" w:rsidP="00DD0E76">
      <w:pPr>
        <w:pStyle w:val="citation"/>
      </w:pPr>
      <w:r w:rsidRPr="00EF2473">
        <w:t>US Energy Information Administration (2014),</w:t>
      </w:r>
      <w:r w:rsidRPr="00EF2473">
        <w:rPr>
          <w:rStyle w:val="apple-converted-space"/>
          <w:color w:val="FF0000"/>
        </w:rPr>
        <w:t xml:space="preserve"> </w:t>
      </w:r>
      <w:r w:rsidRPr="00EF2473">
        <w:rPr>
          <w:i/>
        </w:rPr>
        <w:t>International energy statistics</w:t>
      </w:r>
      <w:r w:rsidRPr="00EF2473">
        <w:t xml:space="preserve">. Retrieved from </w:t>
      </w:r>
      <w:hyperlink r:id="rId32" w:history="1">
        <w:r w:rsidRPr="00EF2473">
          <w:t>http://www.eia.gov/cfapps/ipdbproject/iedindex3.cfm?tid=5&amp;pid=57&amp;aid=6&amp;cid=regions&amp;syid=2010&amp;eyid=2015&amp;unit=BB</w:t>
        </w:r>
      </w:hyperlink>
    </w:p>
    <w:p w14:paraId="41FE26FC" w14:textId="77777777" w:rsidR="00401E7F" w:rsidRPr="00BA6778" w:rsidRDefault="00755FFC" w:rsidP="00DD0E76">
      <w:pPr>
        <w:pStyle w:val="citation"/>
        <w:rPr>
          <w:lang w:val="pt-BR"/>
        </w:rPr>
      </w:pPr>
      <w:r w:rsidRPr="00BA6778">
        <w:rPr>
          <w:lang w:val="pt-BR"/>
        </w:rPr>
        <w:t xml:space="preserve">MME Ministerio de Minas e Energia (2015). </w:t>
      </w:r>
      <w:r w:rsidRPr="00BA6778">
        <w:rPr>
          <w:i/>
          <w:lang w:val="pt-BR"/>
        </w:rPr>
        <w:t xml:space="preserve">Balanco energetico Nacional 2015 – Relatorio Sintese. </w:t>
      </w:r>
      <w:r w:rsidRPr="00BA6778">
        <w:rPr>
          <w:lang w:val="pt-BR"/>
        </w:rPr>
        <w:t>Retrieved from https://ben.epe.gov.br/downloads/S%C3%ADntese%20do%20Relat%C3%B3rio%20Final_2015_Web.pdf</w:t>
      </w:r>
    </w:p>
    <w:p w14:paraId="4E2A640B" w14:textId="6A7F842C" w:rsidR="00401E7F" w:rsidRPr="00BA6778" w:rsidRDefault="00755FFC" w:rsidP="00DD0E76">
      <w:pPr>
        <w:pStyle w:val="citation"/>
        <w:rPr>
          <w:lang w:val="pt-BR"/>
        </w:rPr>
      </w:pPr>
      <w:r w:rsidRPr="00BA6778">
        <w:rPr>
          <w:lang w:val="pt-BR"/>
        </w:rPr>
        <w:t xml:space="preserve">MME Ministerio de Minas e Energia (2015). </w:t>
      </w:r>
      <w:r w:rsidRPr="00BA6778">
        <w:rPr>
          <w:i/>
          <w:lang w:val="pt-BR"/>
        </w:rPr>
        <w:t>Plano Decenal de Energia 2024.</w:t>
      </w:r>
      <w:r w:rsidRPr="00BA6778">
        <w:rPr>
          <w:lang w:val="pt-BR"/>
        </w:rPr>
        <w:t xml:space="preserve"> Retrieved from </w:t>
      </w:r>
      <w:hyperlink r:id="rId33" w:history="1">
        <w:r w:rsidRPr="00BA6778">
          <w:rPr>
            <w:lang w:val="pt-BR"/>
          </w:rPr>
          <w:t>http://www.epe.gov.br/PDEE/PDE%202024.pdf</w:t>
        </w:r>
      </w:hyperlink>
    </w:p>
    <w:p w14:paraId="4B4CD34F" w14:textId="77777777" w:rsidR="00401E7F" w:rsidRPr="00EF2473" w:rsidRDefault="00755FFC" w:rsidP="00DD0E76">
      <w:pPr>
        <w:pStyle w:val="citation"/>
      </w:pPr>
      <w:r w:rsidRPr="00EF2473">
        <w:t xml:space="preserve">Petrobras (n.d.) </w:t>
      </w:r>
      <w:r w:rsidRPr="00EF2473">
        <w:rPr>
          <w:i/>
        </w:rPr>
        <w:t>Pre sal</w:t>
      </w:r>
      <w:r w:rsidRPr="00EF2473">
        <w:t>. Retrieved from http://www.petrobras.com.br/pt/nossas-atividades/areas-de-atuacao/exploracao-e-producao-de-petroleo-e-gas/pre-sal/</w:t>
      </w:r>
    </w:p>
    <w:p w14:paraId="5D536B51" w14:textId="38FE788E" w:rsidR="00401E7F" w:rsidRDefault="00755FFC" w:rsidP="00401E7F">
      <w:pPr>
        <w:autoSpaceDE w:val="0"/>
        <w:autoSpaceDN w:val="0"/>
        <w:adjustRightInd w:val="0"/>
        <w:spacing w:line="240" w:lineRule="auto"/>
        <w:jc w:val="left"/>
        <w:rPr>
          <w:lang w:val="en-US"/>
        </w:rPr>
      </w:pPr>
      <w:r w:rsidRPr="00C3193B">
        <w:rPr>
          <w:lang w:val="en-US"/>
        </w:rPr>
        <w:t xml:space="preserve">REN21. 2016. </w:t>
      </w:r>
      <w:r w:rsidRPr="00C3193B">
        <w:rPr>
          <w:i/>
          <w:lang w:val="en-US"/>
        </w:rPr>
        <w:t>Renewables 2016 Global Status Report</w:t>
      </w:r>
      <w:r>
        <w:rPr>
          <w:lang w:val="en-US"/>
        </w:rPr>
        <w:t xml:space="preserve">. Paris: REN21 Secretariat. Retrieved from </w:t>
      </w:r>
      <w:hyperlink r:id="rId34" w:history="1">
        <w:r w:rsidR="005B0A2C" w:rsidRPr="00717607">
          <w:rPr>
            <w:rStyle w:val="Hyperlink"/>
            <w:lang w:val="en-US"/>
          </w:rPr>
          <w:t>http://www.ren21.net/wp-content/uploads/2016/06/GSR_2016_Full_Report.pdf</w:t>
        </w:r>
      </w:hyperlink>
    </w:p>
    <w:p w14:paraId="463804F7" w14:textId="088B7145" w:rsidR="005B0A2C" w:rsidRDefault="005B0A2C" w:rsidP="00401E7F">
      <w:pPr>
        <w:autoSpaceDE w:val="0"/>
        <w:autoSpaceDN w:val="0"/>
        <w:adjustRightInd w:val="0"/>
        <w:spacing w:line="240" w:lineRule="auto"/>
        <w:jc w:val="left"/>
        <w:rPr>
          <w:lang w:val="en-US"/>
        </w:rPr>
      </w:pPr>
    </w:p>
    <w:p w14:paraId="68851A04" w14:textId="636E7BFD" w:rsidR="005B0A2C" w:rsidRDefault="005B0A2C" w:rsidP="00401E7F">
      <w:pPr>
        <w:autoSpaceDE w:val="0"/>
        <w:autoSpaceDN w:val="0"/>
        <w:adjustRightInd w:val="0"/>
        <w:spacing w:line="240" w:lineRule="auto"/>
        <w:jc w:val="left"/>
        <w:rPr>
          <w:lang w:val="en-US"/>
        </w:rPr>
      </w:pPr>
      <w:bookmarkStart w:id="8" w:name="_GoBack"/>
      <w:bookmarkEnd w:id="8"/>
    </w:p>
    <w:sectPr w:rsidR="005B0A2C" w:rsidSect="00401E7F">
      <w:headerReference w:type="even" r:id="rId35"/>
      <w:headerReference w:type="default" r:id="rId36"/>
      <w:pgSz w:w="11900" w:h="16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52F042" w14:textId="77777777" w:rsidR="00EA0470" w:rsidRDefault="00EA0470">
      <w:pPr>
        <w:spacing w:line="240" w:lineRule="auto"/>
      </w:pPr>
      <w:r>
        <w:separator/>
      </w:r>
    </w:p>
  </w:endnote>
  <w:endnote w:type="continuationSeparator" w:id="0">
    <w:p w14:paraId="06FBDA76" w14:textId="77777777" w:rsidR="00EA0470" w:rsidRDefault="00EA04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1002A87" w:usb1="00000000" w:usb2="00000000" w:usb3="00000000" w:csb0="000100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Futura">
    <w:altName w:val="Century Gothic"/>
    <w:panose1 w:val="00000000000000000000"/>
    <w:charset w:val="00"/>
    <w:family w:val="swiss"/>
    <w:notTrueType/>
    <w:pitch w:val="default"/>
    <w:sig w:usb0="00000003" w:usb1="00000000" w:usb2="00000000" w:usb3="00000000" w:csb0="00000001" w:csb1="00000000"/>
  </w:font>
  <w:font w:name="BDTAPO+EideticModern-Regular">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48A1A2" w14:textId="77777777" w:rsidR="00EA0470" w:rsidRDefault="00EA0470">
      <w:pPr>
        <w:spacing w:line="240" w:lineRule="auto"/>
      </w:pPr>
      <w:r>
        <w:separator/>
      </w:r>
    </w:p>
  </w:footnote>
  <w:footnote w:type="continuationSeparator" w:id="0">
    <w:p w14:paraId="7D6AB8F8" w14:textId="77777777" w:rsidR="00EA0470" w:rsidRDefault="00EA04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BA68D" w14:textId="77777777" w:rsidR="00EA0470" w:rsidRDefault="00EA0470" w:rsidP="00401E7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4118BC" w14:textId="77777777" w:rsidR="00EA0470" w:rsidRDefault="00EA0470" w:rsidP="00401E7F">
    <w:pPr>
      <w:pStyle w:val="Header"/>
      <w:ind w:right="360"/>
    </w:pPr>
  </w:p>
  <w:p w14:paraId="7A5EAFE5" w14:textId="77777777" w:rsidR="00EA0470" w:rsidRDefault="00EA047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21622" w14:textId="507F854C" w:rsidR="00EA0470" w:rsidRDefault="00EA0470" w:rsidP="00401E7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E4D7A">
      <w:rPr>
        <w:rStyle w:val="PageNumber"/>
        <w:noProof/>
      </w:rPr>
      <w:t>23</w:t>
    </w:r>
    <w:r>
      <w:rPr>
        <w:rStyle w:val="PageNumber"/>
      </w:rPr>
      <w:fldChar w:fldCharType="end"/>
    </w:r>
  </w:p>
  <w:p w14:paraId="26C7C3C3" w14:textId="77777777" w:rsidR="00EA0470" w:rsidRDefault="00EA04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
      <w:lvlJc w:val="left"/>
      <w:pPr>
        <w:ind w:left="154" w:hanging="135"/>
      </w:pPr>
      <w:rPr>
        <w:rFonts w:ascii="Arial Narrow" w:hAnsi="Arial Narrow" w:cs="Arial Narrow"/>
        <w:b w:val="0"/>
        <w:bCs w:val="0"/>
        <w:w w:val="174"/>
        <w:sz w:val="18"/>
        <w:szCs w:val="18"/>
      </w:rPr>
    </w:lvl>
    <w:lvl w:ilvl="1">
      <w:numFmt w:val="bullet"/>
      <w:lvlText w:val="•"/>
      <w:lvlJc w:val="left"/>
      <w:pPr>
        <w:ind w:left="475" w:hanging="135"/>
      </w:pPr>
    </w:lvl>
    <w:lvl w:ilvl="2">
      <w:numFmt w:val="bullet"/>
      <w:lvlText w:val="•"/>
      <w:lvlJc w:val="left"/>
      <w:pPr>
        <w:ind w:left="795" w:hanging="135"/>
      </w:pPr>
    </w:lvl>
    <w:lvl w:ilvl="3">
      <w:numFmt w:val="bullet"/>
      <w:lvlText w:val="•"/>
      <w:lvlJc w:val="left"/>
      <w:pPr>
        <w:ind w:left="1116" w:hanging="135"/>
      </w:pPr>
    </w:lvl>
    <w:lvl w:ilvl="4">
      <w:numFmt w:val="bullet"/>
      <w:lvlText w:val="•"/>
      <w:lvlJc w:val="left"/>
      <w:pPr>
        <w:ind w:left="1437" w:hanging="135"/>
      </w:pPr>
    </w:lvl>
    <w:lvl w:ilvl="5">
      <w:numFmt w:val="bullet"/>
      <w:lvlText w:val="•"/>
      <w:lvlJc w:val="left"/>
      <w:pPr>
        <w:ind w:left="1758" w:hanging="135"/>
      </w:pPr>
    </w:lvl>
    <w:lvl w:ilvl="6">
      <w:numFmt w:val="bullet"/>
      <w:lvlText w:val="•"/>
      <w:lvlJc w:val="left"/>
      <w:pPr>
        <w:ind w:left="2078" w:hanging="135"/>
      </w:pPr>
    </w:lvl>
    <w:lvl w:ilvl="7">
      <w:numFmt w:val="bullet"/>
      <w:lvlText w:val="•"/>
      <w:lvlJc w:val="left"/>
      <w:pPr>
        <w:ind w:left="2399" w:hanging="135"/>
      </w:pPr>
    </w:lvl>
    <w:lvl w:ilvl="8">
      <w:numFmt w:val="bullet"/>
      <w:lvlText w:val="•"/>
      <w:lvlJc w:val="left"/>
      <w:pPr>
        <w:ind w:left="2720" w:hanging="135"/>
      </w:pPr>
    </w:lvl>
  </w:abstractNum>
  <w:abstractNum w:abstractNumId="1" w15:restartNumberingAfterBreak="0">
    <w:nsid w:val="00000403"/>
    <w:multiLevelType w:val="multilevel"/>
    <w:tmpl w:val="00000886"/>
    <w:lvl w:ilvl="0">
      <w:numFmt w:val="bullet"/>
      <w:lvlText w:val="•"/>
      <w:lvlJc w:val="left"/>
      <w:pPr>
        <w:ind w:left="534" w:hanging="239"/>
      </w:pPr>
      <w:rPr>
        <w:rFonts w:ascii="Lucida Sans" w:hAnsi="Lucida Sans" w:cs="Lucida Sans"/>
        <w:b w:val="0"/>
        <w:bCs w:val="0"/>
        <w:w w:val="79"/>
        <w:sz w:val="24"/>
        <w:szCs w:val="24"/>
      </w:rPr>
    </w:lvl>
    <w:lvl w:ilvl="1">
      <w:numFmt w:val="bullet"/>
      <w:lvlText w:val="•"/>
      <w:lvlJc w:val="left"/>
      <w:pPr>
        <w:ind w:left="1262" w:hanging="239"/>
      </w:pPr>
    </w:lvl>
    <w:lvl w:ilvl="2">
      <w:numFmt w:val="bullet"/>
      <w:lvlText w:val="•"/>
      <w:lvlJc w:val="left"/>
      <w:pPr>
        <w:ind w:left="1990" w:hanging="239"/>
      </w:pPr>
    </w:lvl>
    <w:lvl w:ilvl="3">
      <w:numFmt w:val="bullet"/>
      <w:lvlText w:val="•"/>
      <w:lvlJc w:val="left"/>
      <w:pPr>
        <w:ind w:left="2719" w:hanging="239"/>
      </w:pPr>
    </w:lvl>
    <w:lvl w:ilvl="4">
      <w:numFmt w:val="bullet"/>
      <w:lvlText w:val="•"/>
      <w:lvlJc w:val="left"/>
      <w:pPr>
        <w:ind w:left="3447" w:hanging="239"/>
      </w:pPr>
    </w:lvl>
    <w:lvl w:ilvl="5">
      <w:numFmt w:val="bullet"/>
      <w:lvlText w:val="•"/>
      <w:lvlJc w:val="left"/>
      <w:pPr>
        <w:ind w:left="4175" w:hanging="239"/>
      </w:pPr>
    </w:lvl>
    <w:lvl w:ilvl="6">
      <w:numFmt w:val="bullet"/>
      <w:lvlText w:val="•"/>
      <w:lvlJc w:val="left"/>
      <w:pPr>
        <w:ind w:left="4903" w:hanging="239"/>
      </w:pPr>
    </w:lvl>
    <w:lvl w:ilvl="7">
      <w:numFmt w:val="bullet"/>
      <w:lvlText w:val="•"/>
      <w:lvlJc w:val="left"/>
      <w:pPr>
        <w:ind w:left="5631" w:hanging="239"/>
      </w:pPr>
    </w:lvl>
    <w:lvl w:ilvl="8">
      <w:numFmt w:val="bullet"/>
      <w:lvlText w:val="•"/>
      <w:lvlJc w:val="left"/>
      <w:pPr>
        <w:ind w:left="6359" w:hanging="239"/>
      </w:pPr>
    </w:lvl>
  </w:abstractNum>
  <w:abstractNum w:abstractNumId="2" w15:restartNumberingAfterBreak="0">
    <w:nsid w:val="00000404"/>
    <w:multiLevelType w:val="multilevel"/>
    <w:tmpl w:val="00000887"/>
    <w:lvl w:ilvl="0">
      <w:numFmt w:val="bullet"/>
      <w:lvlText w:val="•"/>
      <w:lvlJc w:val="left"/>
      <w:pPr>
        <w:ind w:left="135" w:hanging="135"/>
      </w:pPr>
      <w:rPr>
        <w:rFonts w:ascii="Tahoma" w:hAnsi="Tahoma" w:cs="Tahoma"/>
        <w:b w:val="0"/>
        <w:bCs w:val="0"/>
        <w:w w:val="109"/>
        <w:sz w:val="18"/>
        <w:szCs w:val="18"/>
      </w:rPr>
    </w:lvl>
    <w:lvl w:ilvl="1">
      <w:numFmt w:val="bullet"/>
      <w:lvlText w:val="-"/>
      <w:lvlJc w:val="left"/>
      <w:pPr>
        <w:ind w:left="224" w:hanging="99"/>
      </w:pPr>
      <w:rPr>
        <w:rFonts w:ascii="Tahoma" w:hAnsi="Tahoma" w:cs="Tahoma"/>
        <w:b w:val="0"/>
        <w:bCs w:val="0"/>
        <w:w w:val="83"/>
        <w:sz w:val="18"/>
        <w:szCs w:val="18"/>
      </w:rPr>
    </w:lvl>
    <w:lvl w:ilvl="2">
      <w:numFmt w:val="bullet"/>
      <w:lvlText w:val="•"/>
      <w:lvlJc w:val="left"/>
      <w:pPr>
        <w:ind w:left="565" w:hanging="99"/>
      </w:pPr>
    </w:lvl>
    <w:lvl w:ilvl="3">
      <w:numFmt w:val="bullet"/>
      <w:lvlText w:val="•"/>
      <w:lvlJc w:val="left"/>
      <w:pPr>
        <w:ind w:left="906" w:hanging="99"/>
      </w:pPr>
    </w:lvl>
    <w:lvl w:ilvl="4">
      <w:numFmt w:val="bullet"/>
      <w:lvlText w:val="•"/>
      <w:lvlJc w:val="left"/>
      <w:pPr>
        <w:ind w:left="1247" w:hanging="99"/>
      </w:pPr>
    </w:lvl>
    <w:lvl w:ilvl="5">
      <w:numFmt w:val="bullet"/>
      <w:lvlText w:val="•"/>
      <w:lvlJc w:val="left"/>
      <w:pPr>
        <w:ind w:left="1588" w:hanging="99"/>
      </w:pPr>
    </w:lvl>
    <w:lvl w:ilvl="6">
      <w:numFmt w:val="bullet"/>
      <w:lvlText w:val="•"/>
      <w:lvlJc w:val="left"/>
      <w:pPr>
        <w:ind w:left="1929" w:hanging="99"/>
      </w:pPr>
    </w:lvl>
    <w:lvl w:ilvl="7">
      <w:numFmt w:val="bullet"/>
      <w:lvlText w:val="•"/>
      <w:lvlJc w:val="left"/>
      <w:pPr>
        <w:ind w:left="2270" w:hanging="99"/>
      </w:pPr>
    </w:lvl>
    <w:lvl w:ilvl="8">
      <w:numFmt w:val="bullet"/>
      <w:lvlText w:val="•"/>
      <w:lvlJc w:val="left"/>
      <w:pPr>
        <w:ind w:left="2611" w:hanging="99"/>
      </w:pPr>
    </w:lvl>
  </w:abstractNum>
  <w:abstractNum w:abstractNumId="3" w15:restartNumberingAfterBreak="0">
    <w:nsid w:val="00000405"/>
    <w:multiLevelType w:val="multilevel"/>
    <w:tmpl w:val="00000888"/>
    <w:lvl w:ilvl="0">
      <w:numFmt w:val="bullet"/>
      <w:lvlText w:val="-"/>
      <w:lvlJc w:val="left"/>
      <w:pPr>
        <w:ind w:left="224" w:hanging="99"/>
      </w:pPr>
      <w:rPr>
        <w:rFonts w:ascii="Tahoma" w:hAnsi="Tahoma" w:cs="Tahoma"/>
        <w:b w:val="0"/>
        <w:bCs w:val="0"/>
        <w:w w:val="83"/>
        <w:sz w:val="18"/>
        <w:szCs w:val="18"/>
      </w:rPr>
    </w:lvl>
    <w:lvl w:ilvl="1">
      <w:numFmt w:val="bullet"/>
      <w:lvlText w:val="•"/>
      <w:lvlJc w:val="left"/>
      <w:pPr>
        <w:ind w:left="539" w:hanging="99"/>
      </w:pPr>
    </w:lvl>
    <w:lvl w:ilvl="2">
      <w:numFmt w:val="bullet"/>
      <w:lvlText w:val="•"/>
      <w:lvlJc w:val="left"/>
      <w:pPr>
        <w:ind w:left="855" w:hanging="99"/>
      </w:pPr>
    </w:lvl>
    <w:lvl w:ilvl="3">
      <w:numFmt w:val="bullet"/>
      <w:lvlText w:val="•"/>
      <w:lvlJc w:val="left"/>
      <w:pPr>
        <w:ind w:left="1170" w:hanging="99"/>
      </w:pPr>
    </w:lvl>
    <w:lvl w:ilvl="4">
      <w:numFmt w:val="bullet"/>
      <w:lvlText w:val="•"/>
      <w:lvlJc w:val="left"/>
      <w:pPr>
        <w:ind w:left="1486" w:hanging="99"/>
      </w:pPr>
    </w:lvl>
    <w:lvl w:ilvl="5">
      <w:numFmt w:val="bullet"/>
      <w:lvlText w:val="•"/>
      <w:lvlJc w:val="left"/>
      <w:pPr>
        <w:ind w:left="1801" w:hanging="99"/>
      </w:pPr>
    </w:lvl>
    <w:lvl w:ilvl="6">
      <w:numFmt w:val="bullet"/>
      <w:lvlText w:val="•"/>
      <w:lvlJc w:val="left"/>
      <w:pPr>
        <w:ind w:left="2117" w:hanging="99"/>
      </w:pPr>
    </w:lvl>
    <w:lvl w:ilvl="7">
      <w:numFmt w:val="bullet"/>
      <w:lvlText w:val="•"/>
      <w:lvlJc w:val="left"/>
      <w:pPr>
        <w:ind w:left="2432" w:hanging="99"/>
      </w:pPr>
    </w:lvl>
    <w:lvl w:ilvl="8">
      <w:numFmt w:val="bullet"/>
      <w:lvlText w:val="•"/>
      <w:lvlJc w:val="left"/>
      <w:pPr>
        <w:ind w:left="2748" w:hanging="99"/>
      </w:pPr>
    </w:lvl>
  </w:abstractNum>
  <w:abstractNum w:abstractNumId="4" w15:restartNumberingAfterBreak="0">
    <w:nsid w:val="00000406"/>
    <w:multiLevelType w:val="multilevel"/>
    <w:tmpl w:val="00000889"/>
    <w:lvl w:ilvl="0">
      <w:numFmt w:val="bullet"/>
      <w:lvlText w:val="•"/>
      <w:lvlJc w:val="left"/>
      <w:pPr>
        <w:ind w:left="135" w:hanging="135"/>
      </w:pPr>
      <w:rPr>
        <w:rFonts w:ascii="Tahoma" w:hAnsi="Tahoma" w:cs="Tahoma"/>
        <w:b w:val="0"/>
        <w:bCs w:val="0"/>
        <w:w w:val="109"/>
        <w:sz w:val="18"/>
        <w:szCs w:val="18"/>
      </w:rPr>
    </w:lvl>
    <w:lvl w:ilvl="1">
      <w:numFmt w:val="bullet"/>
      <w:lvlText w:val="•"/>
      <w:lvlJc w:val="left"/>
      <w:pPr>
        <w:ind w:left="459" w:hanging="135"/>
      </w:pPr>
    </w:lvl>
    <w:lvl w:ilvl="2">
      <w:numFmt w:val="bullet"/>
      <w:lvlText w:val="•"/>
      <w:lvlJc w:val="left"/>
      <w:pPr>
        <w:ind w:left="783" w:hanging="135"/>
      </w:pPr>
    </w:lvl>
    <w:lvl w:ilvl="3">
      <w:numFmt w:val="bullet"/>
      <w:lvlText w:val="•"/>
      <w:lvlJc w:val="left"/>
      <w:pPr>
        <w:ind w:left="1108" w:hanging="135"/>
      </w:pPr>
    </w:lvl>
    <w:lvl w:ilvl="4">
      <w:numFmt w:val="bullet"/>
      <w:lvlText w:val="•"/>
      <w:lvlJc w:val="left"/>
      <w:pPr>
        <w:ind w:left="1432" w:hanging="135"/>
      </w:pPr>
    </w:lvl>
    <w:lvl w:ilvl="5">
      <w:numFmt w:val="bullet"/>
      <w:lvlText w:val="•"/>
      <w:lvlJc w:val="left"/>
      <w:pPr>
        <w:ind w:left="1757" w:hanging="135"/>
      </w:pPr>
    </w:lvl>
    <w:lvl w:ilvl="6">
      <w:numFmt w:val="bullet"/>
      <w:lvlText w:val="•"/>
      <w:lvlJc w:val="left"/>
      <w:pPr>
        <w:ind w:left="2081" w:hanging="135"/>
      </w:pPr>
    </w:lvl>
    <w:lvl w:ilvl="7">
      <w:numFmt w:val="bullet"/>
      <w:lvlText w:val="•"/>
      <w:lvlJc w:val="left"/>
      <w:pPr>
        <w:ind w:left="2405" w:hanging="135"/>
      </w:pPr>
    </w:lvl>
    <w:lvl w:ilvl="8">
      <w:numFmt w:val="bullet"/>
      <w:lvlText w:val="•"/>
      <w:lvlJc w:val="left"/>
      <w:pPr>
        <w:ind w:left="2730" w:hanging="135"/>
      </w:pPr>
    </w:lvl>
  </w:abstractNum>
  <w:abstractNum w:abstractNumId="5" w15:restartNumberingAfterBreak="0">
    <w:nsid w:val="00000407"/>
    <w:multiLevelType w:val="multilevel"/>
    <w:tmpl w:val="0000088A"/>
    <w:lvl w:ilvl="0">
      <w:numFmt w:val="bullet"/>
      <w:lvlText w:val="•"/>
      <w:lvlJc w:val="left"/>
      <w:pPr>
        <w:ind w:left="5809" w:hanging="135"/>
      </w:pPr>
      <w:rPr>
        <w:rFonts w:ascii="Tahoma" w:hAnsi="Tahoma" w:cs="Tahoma"/>
        <w:b w:val="0"/>
        <w:bCs w:val="0"/>
        <w:w w:val="109"/>
        <w:sz w:val="18"/>
        <w:szCs w:val="18"/>
      </w:rPr>
    </w:lvl>
    <w:lvl w:ilvl="1">
      <w:numFmt w:val="bullet"/>
      <w:lvlText w:val="•"/>
      <w:lvlJc w:val="left"/>
      <w:pPr>
        <w:ind w:left="6452" w:hanging="135"/>
      </w:pPr>
    </w:lvl>
    <w:lvl w:ilvl="2">
      <w:numFmt w:val="bullet"/>
      <w:lvlText w:val="•"/>
      <w:lvlJc w:val="left"/>
      <w:pPr>
        <w:ind w:left="7095" w:hanging="135"/>
      </w:pPr>
    </w:lvl>
    <w:lvl w:ilvl="3">
      <w:numFmt w:val="bullet"/>
      <w:lvlText w:val="•"/>
      <w:lvlJc w:val="left"/>
      <w:pPr>
        <w:ind w:left="7738" w:hanging="135"/>
      </w:pPr>
    </w:lvl>
    <w:lvl w:ilvl="4">
      <w:numFmt w:val="bullet"/>
      <w:lvlText w:val="•"/>
      <w:lvlJc w:val="left"/>
      <w:pPr>
        <w:ind w:left="8381" w:hanging="135"/>
      </w:pPr>
    </w:lvl>
    <w:lvl w:ilvl="5">
      <w:numFmt w:val="bullet"/>
      <w:lvlText w:val="•"/>
      <w:lvlJc w:val="left"/>
      <w:pPr>
        <w:ind w:left="9024" w:hanging="135"/>
      </w:pPr>
    </w:lvl>
    <w:lvl w:ilvl="6">
      <w:numFmt w:val="bullet"/>
      <w:lvlText w:val="•"/>
      <w:lvlJc w:val="left"/>
      <w:pPr>
        <w:ind w:left="9667" w:hanging="135"/>
      </w:pPr>
    </w:lvl>
    <w:lvl w:ilvl="7">
      <w:numFmt w:val="bullet"/>
      <w:lvlText w:val="•"/>
      <w:lvlJc w:val="left"/>
      <w:pPr>
        <w:ind w:left="10310" w:hanging="135"/>
      </w:pPr>
    </w:lvl>
    <w:lvl w:ilvl="8">
      <w:numFmt w:val="bullet"/>
      <w:lvlText w:val="•"/>
      <w:lvlJc w:val="left"/>
      <w:pPr>
        <w:ind w:left="10953" w:hanging="135"/>
      </w:pPr>
    </w:lvl>
  </w:abstractNum>
  <w:abstractNum w:abstractNumId="6" w15:restartNumberingAfterBreak="0">
    <w:nsid w:val="042D6054"/>
    <w:multiLevelType w:val="hybridMultilevel"/>
    <w:tmpl w:val="81C838F8"/>
    <w:lvl w:ilvl="0" w:tplc="21FC02BC">
      <w:start w:val="1"/>
      <w:numFmt w:val="bullet"/>
      <w:lvlText w:val=""/>
      <w:lvlJc w:val="left"/>
      <w:pPr>
        <w:ind w:left="1440" w:hanging="360"/>
      </w:pPr>
      <w:rPr>
        <w:rFonts w:ascii="Wingdings" w:hAnsi="Wingdings" w:hint="default"/>
      </w:rPr>
    </w:lvl>
    <w:lvl w:ilvl="1" w:tplc="1E087BFC" w:tentative="1">
      <w:start w:val="1"/>
      <w:numFmt w:val="bullet"/>
      <w:lvlText w:val="o"/>
      <w:lvlJc w:val="left"/>
      <w:pPr>
        <w:ind w:left="2160" w:hanging="360"/>
      </w:pPr>
      <w:rPr>
        <w:rFonts w:ascii="Courier New" w:hAnsi="Courier New" w:cs="Courier New" w:hint="default"/>
      </w:rPr>
    </w:lvl>
    <w:lvl w:ilvl="2" w:tplc="FE6AAF08" w:tentative="1">
      <w:start w:val="1"/>
      <w:numFmt w:val="bullet"/>
      <w:lvlText w:val=""/>
      <w:lvlJc w:val="left"/>
      <w:pPr>
        <w:ind w:left="2880" w:hanging="360"/>
      </w:pPr>
      <w:rPr>
        <w:rFonts w:ascii="Wingdings" w:hAnsi="Wingdings" w:hint="default"/>
      </w:rPr>
    </w:lvl>
    <w:lvl w:ilvl="3" w:tplc="53728F56" w:tentative="1">
      <w:start w:val="1"/>
      <w:numFmt w:val="bullet"/>
      <w:lvlText w:val=""/>
      <w:lvlJc w:val="left"/>
      <w:pPr>
        <w:ind w:left="3600" w:hanging="360"/>
      </w:pPr>
      <w:rPr>
        <w:rFonts w:ascii="Symbol" w:hAnsi="Symbol" w:hint="default"/>
      </w:rPr>
    </w:lvl>
    <w:lvl w:ilvl="4" w:tplc="3C48161C" w:tentative="1">
      <w:start w:val="1"/>
      <w:numFmt w:val="bullet"/>
      <w:lvlText w:val="o"/>
      <w:lvlJc w:val="left"/>
      <w:pPr>
        <w:ind w:left="4320" w:hanging="360"/>
      </w:pPr>
      <w:rPr>
        <w:rFonts w:ascii="Courier New" w:hAnsi="Courier New" w:cs="Courier New" w:hint="default"/>
      </w:rPr>
    </w:lvl>
    <w:lvl w:ilvl="5" w:tplc="B28AFC94" w:tentative="1">
      <w:start w:val="1"/>
      <w:numFmt w:val="bullet"/>
      <w:lvlText w:val=""/>
      <w:lvlJc w:val="left"/>
      <w:pPr>
        <w:ind w:left="5040" w:hanging="360"/>
      </w:pPr>
      <w:rPr>
        <w:rFonts w:ascii="Wingdings" w:hAnsi="Wingdings" w:hint="default"/>
      </w:rPr>
    </w:lvl>
    <w:lvl w:ilvl="6" w:tplc="6032F464" w:tentative="1">
      <w:start w:val="1"/>
      <w:numFmt w:val="bullet"/>
      <w:lvlText w:val=""/>
      <w:lvlJc w:val="left"/>
      <w:pPr>
        <w:ind w:left="5760" w:hanging="360"/>
      </w:pPr>
      <w:rPr>
        <w:rFonts w:ascii="Symbol" w:hAnsi="Symbol" w:hint="default"/>
      </w:rPr>
    </w:lvl>
    <w:lvl w:ilvl="7" w:tplc="3D3C7BE0" w:tentative="1">
      <w:start w:val="1"/>
      <w:numFmt w:val="bullet"/>
      <w:lvlText w:val="o"/>
      <w:lvlJc w:val="left"/>
      <w:pPr>
        <w:ind w:left="6480" w:hanging="360"/>
      </w:pPr>
      <w:rPr>
        <w:rFonts w:ascii="Courier New" w:hAnsi="Courier New" w:cs="Courier New" w:hint="default"/>
      </w:rPr>
    </w:lvl>
    <w:lvl w:ilvl="8" w:tplc="BCF20F5E" w:tentative="1">
      <w:start w:val="1"/>
      <w:numFmt w:val="bullet"/>
      <w:lvlText w:val=""/>
      <w:lvlJc w:val="left"/>
      <w:pPr>
        <w:ind w:left="7200" w:hanging="360"/>
      </w:pPr>
      <w:rPr>
        <w:rFonts w:ascii="Wingdings" w:hAnsi="Wingdings" w:hint="default"/>
      </w:rPr>
    </w:lvl>
  </w:abstractNum>
  <w:abstractNum w:abstractNumId="7" w15:restartNumberingAfterBreak="0">
    <w:nsid w:val="049318A4"/>
    <w:multiLevelType w:val="hybridMultilevel"/>
    <w:tmpl w:val="DEC6F44C"/>
    <w:lvl w:ilvl="0" w:tplc="DA6AD740">
      <w:start w:val="1"/>
      <w:numFmt w:val="bullet"/>
      <w:lvlText w:val=""/>
      <w:lvlJc w:val="left"/>
      <w:pPr>
        <w:ind w:left="1440" w:hanging="360"/>
      </w:pPr>
      <w:rPr>
        <w:rFonts w:ascii="Wingdings" w:hAnsi="Wingdings" w:hint="default"/>
      </w:rPr>
    </w:lvl>
    <w:lvl w:ilvl="1" w:tplc="5CA222DE" w:tentative="1">
      <w:start w:val="1"/>
      <w:numFmt w:val="bullet"/>
      <w:lvlText w:val="o"/>
      <w:lvlJc w:val="left"/>
      <w:pPr>
        <w:ind w:left="2160" w:hanging="360"/>
      </w:pPr>
      <w:rPr>
        <w:rFonts w:ascii="Courier New" w:hAnsi="Courier New" w:cs="Courier New" w:hint="default"/>
      </w:rPr>
    </w:lvl>
    <w:lvl w:ilvl="2" w:tplc="027A4DF8" w:tentative="1">
      <w:start w:val="1"/>
      <w:numFmt w:val="bullet"/>
      <w:lvlText w:val=""/>
      <w:lvlJc w:val="left"/>
      <w:pPr>
        <w:ind w:left="2880" w:hanging="360"/>
      </w:pPr>
      <w:rPr>
        <w:rFonts w:ascii="Wingdings" w:hAnsi="Wingdings" w:hint="default"/>
      </w:rPr>
    </w:lvl>
    <w:lvl w:ilvl="3" w:tplc="A61AA9CE" w:tentative="1">
      <w:start w:val="1"/>
      <w:numFmt w:val="bullet"/>
      <w:lvlText w:val=""/>
      <w:lvlJc w:val="left"/>
      <w:pPr>
        <w:ind w:left="3600" w:hanging="360"/>
      </w:pPr>
      <w:rPr>
        <w:rFonts w:ascii="Symbol" w:hAnsi="Symbol" w:hint="default"/>
      </w:rPr>
    </w:lvl>
    <w:lvl w:ilvl="4" w:tplc="E4842F60" w:tentative="1">
      <w:start w:val="1"/>
      <w:numFmt w:val="bullet"/>
      <w:lvlText w:val="o"/>
      <w:lvlJc w:val="left"/>
      <w:pPr>
        <w:ind w:left="4320" w:hanging="360"/>
      </w:pPr>
      <w:rPr>
        <w:rFonts w:ascii="Courier New" w:hAnsi="Courier New" w:cs="Courier New" w:hint="default"/>
      </w:rPr>
    </w:lvl>
    <w:lvl w:ilvl="5" w:tplc="DACC83F8" w:tentative="1">
      <w:start w:val="1"/>
      <w:numFmt w:val="bullet"/>
      <w:lvlText w:val=""/>
      <w:lvlJc w:val="left"/>
      <w:pPr>
        <w:ind w:left="5040" w:hanging="360"/>
      </w:pPr>
      <w:rPr>
        <w:rFonts w:ascii="Wingdings" w:hAnsi="Wingdings" w:hint="default"/>
      </w:rPr>
    </w:lvl>
    <w:lvl w:ilvl="6" w:tplc="609834E2" w:tentative="1">
      <w:start w:val="1"/>
      <w:numFmt w:val="bullet"/>
      <w:lvlText w:val=""/>
      <w:lvlJc w:val="left"/>
      <w:pPr>
        <w:ind w:left="5760" w:hanging="360"/>
      </w:pPr>
      <w:rPr>
        <w:rFonts w:ascii="Symbol" w:hAnsi="Symbol" w:hint="default"/>
      </w:rPr>
    </w:lvl>
    <w:lvl w:ilvl="7" w:tplc="30FEDD18" w:tentative="1">
      <w:start w:val="1"/>
      <w:numFmt w:val="bullet"/>
      <w:lvlText w:val="o"/>
      <w:lvlJc w:val="left"/>
      <w:pPr>
        <w:ind w:left="6480" w:hanging="360"/>
      </w:pPr>
      <w:rPr>
        <w:rFonts w:ascii="Courier New" w:hAnsi="Courier New" w:cs="Courier New" w:hint="default"/>
      </w:rPr>
    </w:lvl>
    <w:lvl w:ilvl="8" w:tplc="9CAC1916" w:tentative="1">
      <w:start w:val="1"/>
      <w:numFmt w:val="bullet"/>
      <w:lvlText w:val=""/>
      <w:lvlJc w:val="left"/>
      <w:pPr>
        <w:ind w:left="7200" w:hanging="360"/>
      </w:pPr>
      <w:rPr>
        <w:rFonts w:ascii="Wingdings" w:hAnsi="Wingdings" w:hint="default"/>
      </w:rPr>
    </w:lvl>
  </w:abstractNum>
  <w:abstractNum w:abstractNumId="8" w15:restartNumberingAfterBreak="0">
    <w:nsid w:val="10983A82"/>
    <w:multiLevelType w:val="hybridMultilevel"/>
    <w:tmpl w:val="04128EB2"/>
    <w:lvl w:ilvl="0" w:tplc="3FAE4FE8">
      <w:start w:val="1"/>
      <w:numFmt w:val="decimal"/>
      <w:lvlText w:val="%1."/>
      <w:lvlJc w:val="left"/>
      <w:pPr>
        <w:ind w:left="1440" w:hanging="360"/>
      </w:pPr>
      <w:rPr>
        <w:rFonts w:hint="default"/>
      </w:rPr>
    </w:lvl>
    <w:lvl w:ilvl="1" w:tplc="E74C053C" w:tentative="1">
      <w:start w:val="1"/>
      <w:numFmt w:val="bullet"/>
      <w:lvlText w:val="o"/>
      <w:lvlJc w:val="left"/>
      <w:pPr>
        <w:ind w:left="2160" w:hanging="360"/>
      </w:pPr>
      <w:rPr>
        <w:rFonts w:ascii="Courier New" w:hAnsi="Courier New" w:cs="Courier New" w:hint="default"/>
      </w:rPr>
    </w:lvl>
    <w:lvl w:ilvl="2" w:tplc="2E946C74" w:tentative="1">
      <w:start w:val="1"/>
      <w:numFmt w:val="bullet"/>
      <w:lvlText w:val=""/>
      <w:lvlJc w:val="left"/>
      <w:pPr>
        <w:ind w:left="2880" w:hanging="360"/>
      </w:pPr>
      <w:rPr>
        <w:rFonts w:ascii="Wingdings" w:hAnsi="Wingdings" w:hint="default"/>
      </w:rPr>
    </w:lvl>
    <w:lvl w:ilvl="3" w:tplc="13260202" w:tentative="1">
      <w:start w:val="1"/>
      <w:numFmt w:val="bullet"/>
      <w:lvlText w:val=""/>
      <w:lvlJc w:val="left"/>
      <w:pPr>
        <w:ind w:left="3600" w:hanging="360"/>
      </w:pPr>
      <w:rPr>
        <w:rFonts w:ascii="Symbol" w:hAnsi="Symbol" w:hint="default"/>
      </w:rPr>
    </w:lvl>
    <w:lvl w:ilvl="4" w:tplc="59849E64" w:tentative="1">
      <w:start w:val="1"/>
      <w:numFmt w:val="bullet"/>
      <w:lvlText w:val="o"/>
      <w:lvlJc w:val="left"/>
      <w:pPr>
        <w:ind w:left="4320" w:hanging="360"/>
      </w:pPr>
      <w:rPr>
        <w:rFonts w:ascii="Courier New" w:hAnsi="Courier New" w:cs="Courier New" w:hint="default"/>
      </w:rPr>
    </w:lvl>
    <w:lvl w:ilvl="5" w:tplc="06C40892" w:tentative="1">
      <w:start w:val="1"/>
      <w:numFmt w:val="bullet"/>
      <w:lvlText w:val=""/>
      <w:lvlJc w:val="left"/>
      <w:pPr>
        <w:ind w:left="5040" w:hanging="360"/>
      </w:pPr>
      <w:rPr>
        <w:rFonts w:ascii="Wingdings" w:hAnsi="Wingdings" w:hint="default"/>
      </w:rPr>
    </w:lvl>
    <w:lvl w:ilvl="6" w:tplc="131A1E7E" w:tentative="1">
      <w:start w:val="1"/>
      <w:numFmt w:val="bullet"/>
      <w:lvlText w:val=""/>
      <w:lvlJc w:val="left"/>
      <w:pPr>
        <w:ind w:left="5760" w:hanging="360"/>
      </w:pPr>
      <w:rPr>
        <w:rFonts w:ascii="Symbol" w:hAnsi="Symbol" w:hint="default"/>
      </w:rPr>
    </w:lvl>
    <w:lvl w:ilvl="7" w:tplc="4FAA8A30" w:tentative="1">
      <w:start w:val="1"/>
      <w:numFmt w:val="bullet"/>
      <w:lvlText w:val="o"/>
      <w:lvlJc w:val="left"/>
      <w:pPr>
        <w:ind w:left="6480" w:hanging="360"/>
      </w:pPr>
      <w:rPr>
        <w:rFonts w:ascii="Courier New" w:hAnsi="Courier New" w:cs="Courier New" w:hint="default"/>
      </w:rPr>
    </w:lvl>
    <w:lvl w:ilvl="8" w:tplc="D8CA69FA" w:tentative="1">
      <w:start w:val="1"/>
      <w:numFmt w:val="bullet"/>
      <w:lvlText w:val=""/>
      <w:lvlJc w:val="left"/>
      <w:pPr>
        <w:ind w:left="7200" w:hanging="360"/>
      </w:pPr>
      <w:rPr>
        <w:rFonts w:ascii="Wingdings" w:hAnsi="Wingdings" w:hint="default"/>
      </w:rPr>
    </w:lvl>
  </w:abstractNum>
  <w:abstractNum w:abstractNumId="9" w15:restartNumberingAfterBreak="0">
    <w:nsid w:val="13C478A5"/>
    <w:multiLevelType w:val="hybridMultilevel"/>
    <w:tmpl w:val="234C7D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F36098"/>
    <w:multiLevelType w:val="hybridMultilevel"/>
    <w:tmpl w:val="953C8A9E"/>
    <w:lvl w:ilvl="0" w:tplc="A94C6F94">
      <w:start w:val="1"/>
      <w:numFmt w:val="decimal"/>
      <w:lvlText w:val="%1."/>
      <w:lvlJc w:val="left"/>
      <w:pPr>
        <w:ind w:left="1080" w:hanging="360"/>
      </w:pPr>
      <w:rPr>
        <w:rFonts w:hint="default"/>
      </w:rPr>
    </w:lvl>
    <w:lvl w:ilvl="1" w:tplc="FB1C26FC" w:tentative="1">
      <w:start w:val="1"/>
      <w:numFmt w:val="lowerLetter"/>
      <w:lvlText w:val="%2."/>
      <w:lvlJc w:val="left"/>
      <w:pPr>
        <w:ind w:left="1800" w:hanging="360"/>
      </w:pPr>
    </w:lvl>
    <w:lvl w:ilvl="2" w:tplc="FC422C02" w:tentative="1">
      <w:start w:val="1"/>
      <w:numFmt w:val="lowerRoman"/>
      <w:lvlText w:val="%3."/>
      <w:lvlJc w:val="right"/>
      <w:pPr>
        <w:ind w:left="2520" w:hanging="180"/>
      </w:pPr>
    </w:lvl>
    <w:lvl w:ilvl="3" w:tplc="91D28762" w:tentative="1">
      <w:start w:val="1"/>
      <w:numFmt w:val="decimal"/>
      <w:lvlText w:val="%4."/>
      <w:lvlJc w:val="left"/>
      <w:pPr>
        <w:ind w:left="3240" w:hanging="360"/>
      </w:pPr>
    </w:lvl>
    <w:lvl w:ilvl="4" w:tplc="2898CA6E" w:tentative="1">
      <w:start w:val="1"/>
      <w:numFmt w:val="lowerLetter"/>
      <w:lvlText w:val="%5."/>
      <w:lvlJc w:val="left"/>
      <w:pPr>
        <w:ind w:left="3960" w:hanging="360"/>
      </w:pPr>
    </w:lvl>
    <w:lvl w:ilvl="5" w:tplc="63AAF6D6" w:tentative="1">
      <w:start w:val="1"/>
      <w:numFmt w:val="lowerRoman"/>
      <w:lvlText w:val="%6."/>
      <w:lvlJc w:val="right"/>
      <w:pPr>
        <w:ind w:left="4680" w:hanging="180"/>
      </w:pPr>
    </w:lvl>
    <w:lvl w:ilvl="6" w:tplc="FDDC9CCC" w:tentative="1">
      <w:start w:val="1"/>
      <w:numFmt w:val="decimal"/>
      <w:lvlText w:val="%7."/>
      <w:lvlJc w:val="left"/>
      <w:pPr>
        <w:ind w:left="5400" w:hanging="360"/>
      </w:pPr>
    </w:lvl>
    <w:lvl w:ilvl="7" w:tplc="B0DC59F0" w:tentative="1">
      <w:start w:val="1"/>
      <w:numFmt w:val="lowerLetter"/>
      <w:lvlText w:val="%8."/>
      <w:lvlJc w:val="left"/>
      <w:pPr>
        <w:ind w:left="6120" w:hanging="360"/>
      </w:pPr>
    </w:lvl>
    <w:lvl w:ilvl="8" w:tplc="B158EE3A" w:tentative="1">
      <w:start w:val="1"/>
      <w:numFmt w:val="lowerRoman"/>
      <w:lvlText w:val="%9."/>
      <w:lvlJc w:val="right"/>
      <w:pPr>
        <w:ind w:left="6840" w:hanging="180"/>
      </w:pPr>
    </w:lvl>
  </w:abstractNum>
  <w:abstractNum w:abstractNumId="11" w15:restartNumberingAfterBreak="0">
    <w:nsid w:val="19F4668B"/>
    <w:multiLevelType w:val="hybridMultilevel"/>
    <w:tmpl w:val="64C0B6C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B292B8C"/>
    <w:multiLevelType w:val="hybridMultilevel"/>
    <w:tmpl w:val="EFE02198"/>
    <w:lvl w:ilvl="0" w:tplc="CE7E34E8">
      <w:start w:val="1"/>
      <w:numFmt w:val="bullet"/>
      <w:lvlText w:val=""/>
      <w:lvlJc w:val="left"/>
      <w:pPr>
        <w:ind w:left="1440" w:hanging="360"/>
      </w:pPr>
      <w:rPr>
        <w:rFonts w:ascii="Wingdings" w:hAnsi="Wingdings" w:hint="default"/>
      </w:rPr>
    </w:lvl>
    <w:lvl w:ilvl="1" w:tplc="029C7142" w:tentative="1">
      <w:start w:val="1"/>
      <w:numFmt w:val="bullet"/>
      <w:lvlText w:val="o"/>
      <w:lvlJc w:val="left"/>
      <w:pPr>
        <w:ind w:left="2160" w:hanging="360"/>
      </w:pPr>
      <w:rPr>
        <w:rFonts w:ascii="Courier New" w:hAnsi="Courier New" w:cs="Courier New" w:hint="default"/>
      </w:rPr>
    </w:lvl>
    <w:lvl w:ilvl="2" w:tplc="6F524024" w:tentative="1">
      <w:start w:val="1"/>
      <w:numFmt w:val="bullet"/>
      <w:lvlText w:val=""/>
      <w:lvlJc w:val="left"/>
      <w:pPr>
        <w:ind w:left="2880" w:hanging="360"/>
      </w:pPr>
      <w:rPr>
        <w:rFonts w:ascii="Wingdings" w:hAnsi="Wingdings" w:hint="default"/>
      </w:rPr>
    </w:lvl>
    <w:lvl w:ilvl="3" w:tplc="3508F87C" w:tentative="1">
      <w:start w:val="1"/>
      <w:numFmt w:val="bullet"/>
      <w:lvlText w:val=""/>
      <w:lvlJc w:val="left"/>
      <w:pPr>
        <w:ind w:left="3600" w:hanging="360"/>
      </w:pPr>
      <w:rPr>
        <w:rFonts w:ascii="Symbol" w:hAnsi="Symbol" w:hint="default"/>
      </w:rPr>
    </w:lvl>
    <w:lvl w:ilvl="4" w:tplc="5A1425DA" w:tentative="1">
      <w:start w:val="1"/>
      <w:numFmt w:val="bullet"/>
      <w:lvlText w:val="o"/>
      <w:lvlJc w:val="left"/>
      <w:pPr>
        <w:ind w:left="4320" w:hanging="360"/>
      </w:pPr>
      <w:rPr>
        <w:rFonts w:ascii="Courier New" w:hAnsi="Courier New" w:cs="Courier New" w:hint="default"/>
      </w:rPr>
    </w:lvl>
    <w:lvl w:ilvl="5" w:tplc="791E0848" w:tentative="1">
      <w:start w:val="1"/>
      <w:numFmt w:val="bullet"/>
      <w:lvlText w:val=""/>
      <w:lvlJc w:val="left"/>
      <w:pPr>
        <w:ind w:left="5040" w:hanging="360"/>
      </w:pPr>
      <w:rPr>
        <w:rFonts w:ascii="Wingdings" w:hAnsi="Wingdings" w:hint="default"/>
      </w:rPr>
    </w:lvl>
    <w:lvl w:ilvl="6" w:tplc="19D457F0" w:tentative="1">
      <w:start w:val="1"/>
      <w:numFmt w:val="bullet"/>
      <w:lvlText w:val=""/>
      <w:lvlJc w:val="left"/>
      <w:pPr>
        <w:ind w:left="5760" w:hanging="360"/>
      </w:pPr>
      <w:rPr>
        <w:rFonts w:ascii="Symbol" w:hAnsi="Symbol" w:hint="default"/>
      </w:rPr>
    </w:lvl>
    <w:lvl w:ilvl="7" w:tplc="0FC8C2B6" w:tentative="1">
      <w:start w:val="1"/>
      <w:numFmt w:val="bullet"/>
      <w:lvlText w:val="o"/>
      <w:lvlJc w:val="left"/>
      <w:pPr>
        <w:ind w:left="6480" w:hanging="360"/>
      </w:pPr>
      <w:rPr>
        <w:rFonts w:ascii="Courier New" w:hAnsi="Courier New" w:cs="Courier New" w:hint="default"/>
      </w:rPr>
    </w:lvl>
    <w:lvl w:ilvl="8" w:tplc="62A4BDDC" w:tentative="1">
      <w:start w:val="1"/>
      <w:numFmt w:val="bullet"/>
      <w:lvlText w:val=""/>
      <w:lvlJc w:val="left"/>
      <w:pPr>
        <w:ind w:left="7200" w:hanging="360"/>
      </w:pPr>
      <w:rPr>
        <w:rFonts w:ascii="Wingdings" w:hAnsi="Wingdings" w:hint="default"/>
      </w:rPr>
    </w:lvl>
  </w:abstractNum>
  <w:abstractNum w:abstractNumId="13" w15:restartNumberingAfterBreak="0">
    <w:nsid w:val="23360BEE"/>
    <w:multiLevelType w:val="hybridMultilevel"/>
    <w:tmpl w:val="C30A1148"/>
    <w:lvl w:ilvl="0" w:tplc="A7F6221C">
      <w:start w:val="1"/>
      <w:numFmt w:val="bullet"/>
      <w:lvlText w:val=""/>
      <w:lvlJc w:val="left"/>
      <w:pPr>
        <w:ind w:left="1440" w:hanging="360"/>
      </w:pPr>
      <w:rPr>
        <w:rFonts w:ascii="Wingdings" w:hAnsi="Wingdings" w:hint="default"/>
      </w:rPr>
    </w:lvl>
    <w:lvl w:ilvl="1" w:tplc="F7924A8C" w:tentative="1">
      <w:start w:val="1"/>
      <w:numFmt w:val="bullet"/>
      <w:lvlText w:val="o"/>
      <w:lvlJc w:val="left"/>
      <w:pPr>
        <w:ind w:left="2160" w:hanging="360"/>
      </w:pPr>
      <w:rPr>
        <w:rFonts w:ascii="Courier New" w:hAnsi="Courier New" w:cs="Courier New" w:hint="default"/>
      </w:rPr>
    </w:lvl>
    <w:lvl w:ilvl="2" w:tplc="75DCDCF0" w:tentative="1">
      <w:start w:val="1"/>
      <w:numFmt w:val="bullet"/>
      <w:lvlText w:val=""/>
      <w:lvlJc w:val="left"/>
      <w:pPr>
        <w:ind w:left="2880" w:hanging="360"/>
      </w:pPr>
      <w:rPr>
        <w:rFonts w:ascii="Wingdings" w:hAnsi="Wingdings" w:hint="default"/>
      </w:rPr>
    </w:lvl>
    <w:lvl w:ilvl="3" w:tplc="6292E424" w:tentative="1">
      <w:start w:val="1"/>
      <w:numFmt w:val="bullet"/>
      <w:lvlText w:val=""/>
      <w:lvlJc w:val="left"/>
      <w:pPr>
        <w:ind w:left="3600" w:hanging="360"/>
      </w:pPr>
      <w:rPr>
        <w:rFonts w:ascii="Symbol" w:hAnsi="Symbol" w:hint="default"/>
      </w:rPr>
    </w:lvl>
    <w:lvl w:ilvl="4" w:tplc="C5D88E58" w:tentative="1">
      <w:start w:val="1"/>
      <w:numFmt w:val="bullet"/>
      <w:lvlText w:val="o"/>
      <w:lvlJc w:val="left"/>
      <w:pPr>
        <w:ind w:left="4320" w:hanging="360"/>
      </w:pPr>
      <w:rPr>
        <w:rFonts w:ascii="Courier New" w:hAnsi="Courier New" w:cs="Courier New" w:hint="default"/>
      </w:rPr>
    </w:lvl>
    <w:lvl w:ilvl="5" w:tplc="68A645C0" w:tentative="1">
      <w:start w:val="1"/>
      <w:numFmt w:val="bullet"/>
      <w:lvlText w:val=""/>
      <w:lvlJc w:val="left"/>
      <w:pPr>
        <w:ind w:left="5040" w:hanging="360"/>
      </w:pPr>
      <w:rPr>
        <w:rFonts w:ascii="Wingdings" w:hAnsi="Wingdings" w:hint="default"/>
      </w:rPr>
    </w:lvl>
    <w:lvl w:ilvl="6" w:tplc="3586B0BE" w:tentative="1">
      <w:start w:val="1"/>
      <w:numFmt w:val="bullet"/>
      <w:lvlText w:val=""/>
      <w:lvlJc w:val="left"/>
      <w:pPr>
        <w:ind w:left="5760" w:hanging="360"/>
      </w:pPr>
      <w:rPr>
        <w:rFonts w:ascii="Symbol" w:hAnsi="Symbol" w:hint="default"/>
      </w:rPr>
    </w:lvl>
    <w:lvl w:ilvl="7" w:tplc="F56818AE" w:tentative="1">
      <w:start w:val="1"/>
      <w:numFmt w:val="bullet"/>
      <w:lvlText w:val="o"/>
      <w:lvlJc w:val="left"/>
      <w:pPr>
        <w:ind w:left="6480" w:hanging="360"/>
      </w:pPr>
      <w:rPr>
        <w:rFonts w:ascii="Courier New" w:hAnsi="Courier New" w:cs="Courier New" w:hint="default"/>
      </w:rPr>
    </w:lvl>
    <w:lvl w:ilvl="8" w:tplc="3272A77A" w:tentative="1">
      <w:start w:val="1"/>
      <w:numFmt w:val="bullet"/>
      <w:lvlText w:val=""/>
      <w:lvlJc w:val="left"/>
      <w:pPr>
        <w:ind w:left="7200" w:hanging="360"/>
      </w:pPr>
      <w:rPr>
        <w:rFonts w:ascii="Wingdings" w:hAnsi="Wingdings" w:hint="default"/>
      </w:rPr>
    </w:lvl>
  </w:abstractNum>
  <w:abstractNum w:abstractNumId="14" w15:restartNumberingAfterBreak="0">
    <w:nsid w:val="27E41F53"/>
    <w:multiLevelType w:val="hybridMultilevel"/>
    <w:tmpl w:val="E0B2D20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FD35D97"/>
    <w:multiLevelType w:val="hybridMultilevel"/>
    <w:tmpl w:val="45762BE8"/>
    <w:lvl w:ilvl="0" w:tplc="5A68A5B8">
      <w:start w:val="1"/>
      <w:numFmt w:val="bullet"/>
      <w:lvlText w:val=""/>
      <w:lvlJc w:val="left"/>
      <w:pPr>
        <w:ind w:left="1440" w:hanging="360"/>
      </w:pPr>
      <w:rPr>
        <w:rFonts w:ascii="Symbol" w:hAnsi="Symbol" w:hint="default"/>
      </w:rPr>
    </w:lvl>
    <w:lvl w:ilvl="1" w:tplc="0C765690" w:tentative="1">
      <w:start w:val="1"/>
      <w:numFmt w:val="bullet"/>
      <w:lvlText w:val="o"/>
      <w:lvlJc w:val="left"/>
      <w:pPr>
        <w:ind w:left="2160" w:hanging="360"/>
      </w:pPr>
      <w:rPr>
        <w:rFonts w:ascii="Courier New" w:hAnsi="Courier New" w:cs="Courier New" w:hint="default"/>
      </w:rPr>
    </w:lvl>
    <w:lvl w:ilvl="2" w:tplc="3B64E98A" w:tentative="1">
      <w:start w:val="1"/>
      <w:numFmt w:val="bullet"/>
      <w:lvlText w:val=""/>
      <w:lvlJc w:val="left"/>
      <w:pPr>
        <w:ind w:left="2880" w:hanging="360"/>
      </w:pPr>
      <w:rPr>
        <w:rFonts w:ascii="Wingdings" w:hAnsi="Wingdings" w:hint="default"/>
      </w:rPr>
    </w:lvl>
    <w:lvl w:ilvl="3" w:tplc="DF3EFF9C" w:tentative="1">
      <w:start w:val="1"/>
      <w:numFmt w:val="bullet"/>
      <w:lvlText w:val=""/>
      <w:lvlJc w:val="left"/>
      <w:pPr>
        <w:ind w:left="3600" w:hanging="360"/>
      </w:pPr>
      <w:rPr>
        <w:rFonts w:ascii="Symbol" w:hAnsi="Symbol" w:hint="default"/>
      </w:rPr>
    </w:lvl>
    <w:lvl w:ilvl="4" w:tplc="A0B0161C" w:tentative="1">
      <w:start w:val="1"/>
      <w:numFmt w:val="bullet"/>
      <w:lvlText w:val="o"/>
      <w:lvlJc w:val="left"/>
      <w:pPr>
        <w:ind w:left="4320" w:hanging="360"/>
      </w:pPr>
      <w:rPr>
        <w:rFonts w:ascii="Courier New" w:hAnsi="Courier New" w:cs="Courier New" w:hint="default"/>
      </w:rPr>
    </w:lvl>
    <w:lvl w:ilvl="5" w:tplc="AC84C454" w:tentative="1">
      <w:start w:val="1"/>
      <w:numFmt w:val="bullet"/>
      <w:lvlText w:val=""/>
      <w:lvlJc w:val="left"/>
      <w:pPr>
        <w:ind w:left="5040" w:hanging="360"/>
      </w:pPr>
      <w:rPr>
        <w:rFonts w:ascii="Wingdings" w:hAnsi="Wingdings" w:hint="default"/>
      </w:rPr>
    </w:lvl>
    <w:lvl w:ilvl="6" w:tplc="7EAAC1CA" w:tentative="1">
      <w:start w:val="1"/>
      <w:numFmt w:val="bullet"/>
      <w:lvlText w:val=""/>
      <w:lvlJc w:val="left"/>
      <w:pPr>
        <w:ind w:left="5760" w:hanging="360"/>
      </w:pPr>
      <w:rPr>
        <w:rFonts w:ascii="Symbol" w:hAnsi="Symbol" w:hint="default"/>
      </w:rPr>
    </w:lvl>
    <w:lvl w:ilvl="7" w:tplc="1106925E" w:tentative="1">
      <w:start w:val="1"/>
      <w:numFmt w:val="bullet"/>
      <w:lvlText w:val="o"/>
      <w:lvlJc w:val="left"/>
      <w:pPr>
        <w:ind w:left="6480" w:hanging="360"/>
      </w:pPr>
      <w:rPr>
        <w:rFonts w:ascii="Courier New" w:hAnsi="Courier New" w:cs="Courier New" w:hint="default"/>
      </w:rPr>
    </w:lvl>
    <w:lvl w:ilvl="8" w:tplc="B3381B0E" w:tentative="1">
      <w:start w:val="1"/>
      <w:numFmt w:val="bullet"/>
      <w:lvlText w:val=""/>
      <w:lvlJc w:val="left"/>
      <w:pPr>
        <w:ind w:left="7200" w:hanging="360"/>
      </w:pPr>
      <w:rPr>
        <w:rFonts w:ascii="Wingdings" w:hAnsi="Wingdings" w:hint="default"/>
      </w:rPr>
    </w:lvl>
  </w:abstractNum>
  <w:abstractNum w:abstractNumId="16" w15:restartNumberingAfterBreak="0">
    <w:nsid w:val="32ED77C3"/>
    <w:multiLevelType w:val="hybridMultilevel"/>
    <w:tmpl w:val="953C8A9E"/>
    <w:lvl w:ilvl="0" w:tplc="1B3C435A">
      <w:start w:val="1"/>
      <w:numFmt w:val="decimal"/>
      <w:lvlText w:val="%1."/>
      <w:lvlJc w:val="left"/>
      <w:pPr>
        <w:ind w:left="1080" w:hanging="360"/>
      </w:pPr>
      <w:rPr>
        <w:rFonts w:hint="default"/>
      </w:rPr>
    </w:lvl>
    <w:lvl w:ilvl="1" w:tplc="3E7801D8" w:tentative="1">
      <w:start w:val="1"/>
      <w:numFmt w:val="lowerLetter"/>
      <w:lvlText w:val="%2."/>
      <w:lvlJc w:val="left"/>
      <w:pPr>
        <w:ind w:left="1800" w:hanging="360"/>
      </w:pPr>
    </w:lvl>
    <w:lvl w:ilvl="2" w:tplc="375630E0" w:tentative="1">
      <w:start w:val="1"/>
      <w:numFmt w:val="lowerRoman"/>
      <w:lvlText w:val="%3."/>
      <w:lvlJc w:val="right"/>
      <w:pPr>
        <w:ind w:left="2520" w:hanging="180"/>
      </w:pPr>
    </w:lvl>
    <w:lvl w:ilvl="3" w:tplc="476C53F2" w:tentative="1">
      <w:start w:val="1"/>
      <w:numFmt w:val="decimal"/>
      <w:lvlText w:val="%4."/>
      <w:lvlJc w:val="left"/>
      <w:pPr>
        <w:ind w:left="3240" w:hanging="360"/>
      </w:pPr>
    </w:lvl>
    <w:lvl w:ilvl="4" w:tplc="C6D2E832" w:tentative="1">
      <w:start w:val="1"/>
      <w:numFmt w:val="lowerLetter"/>
      <w:lvlText w:val="%5."/>
      <w:lvlJc w:val="left"/>
      <w:pPr>
        <w:ind w:left="3960" w:hanging="360"/>
      </w:pPr>
    </w:lvl>
    <w:lvl w:ilvl="5" w:tplc="6F9E963C" w:tentative="1">
      <w:start w:val="1"/>
      <w:numFmt w:val="lowerRoman"/>
      <w:lvlText w:val="%6."/>
      <w:lvlJc w:val="right"/>
      <w:pPr>
        <w:ind w:left="4680" w:hanging="180"/>
      </w:pPr>
    </w:lvl>
    <w:lvl w:ilvl="6" w:tplc="26000FF4" w:tentative="1">
      <w:start w:val="1"/>
      <w:numFmt w:val="decimal"/>
      <w:lvlText w:val="%7."/>
      <w:lvlJc w:val="left"/>
      <w:pPr>
        <w:ind w:left="5400" w:hanging="360"/>
      </w:pPr>
    </w:lvl>
    <w:lvl w:ilvl="7" w:tplc="5CA221F4" w:tentative="1">
      <w:start w:val="1"/>
      <w:numFmt w:val="lowerLetter"/>
      <w:lvlText w:val="%8."/>
      <w:lvlJc w:val="left"/>
      <w:pPr>
        <w:ind w:left="6120" w:hanging="360"/>
      </w:pPr>
    </w:lvl>
    <w:lvl w:ilvl="8" w:tplc="0998501A" w:tentative="1">
      <w:start w:val="1"/>
      <w:numFmt w:val="lowerRoman"/>
      <w:lvlText w:val="%9."/>
      <w:lvlJc w:val="right"/>
      <w:pPr>
        <w:ind w:left="6840" w:hanging="180"/>
      </w:pPr>
    </w:lvl>
  </w:abstractNum>
  <w:abstractNum w:abstractNumId="17" w15:restartNumberingAfterBreak="0">
    <w:nsid w:val="34E571A6"/>
    <w:multiLevelType w:val="hybridMultilevel"/>
    <w:tmpl w:val="8CBEE9EA"/>
    <w:lvl w:ilvl="0" w:tplc="FA7E7338">
      <w:start w:val="1"/>
      <w:numFmt w:val="decimal"/>
      <w:lvlText w:val="%1."/>
      <w:lvlJc w:val="left"/>
      <w:pPr>
        <w:ind w:left="1440" w:hanging="360"/>
      </w:pPr>
    </w:lvl>
    <w:lvl w:ilvl="1" w:tplc="B942935C" w:tentative="1">
      <w:start w:val="1"/>
      <w:numFmt w:val="lowerLetter"/>
      <w:lvlText w:val="%2."/>
      <w:lvlJc w:val="left"/>
      <w:pPr>
        <w:ind w:left="2160" w:hanging="360"/>
      </w:pPr>
    </w:lvl>
    <w:lvl w:ilvl="2" w:tplc="9794736E" w:tentative="1">
      <w:start w:val="1"/>
      <w:numFmt w:val="lowerRoman"/>
      <w:lvlText w:val="%3."/>
      <w:lvlJc w:val="right"/>
      <w:pPr>
        <w:ind w:left="2880" w:hanging="180"/>
      </w:pPr>
    </w:lvl>
    <w:lvl w:ilvl="3" w:tplc="E4E60CEE" w:tentative="1">
      <w:start w:val="1"/>
      <w:numFmt w:val="decimal"/>
      <w:lvlText w:val="%4."/>
      <w:lvlJc w:val="left"/>
      <w:pPr>
        <w:ind w:left="3600" w:hanging="360"/>
      </w:pPr>
    </w:lvl>
    <w:lvl w:ilvl="4" w:tplc="7B329D98" w:tentative="1">
      <w:start w:val="1"/>
      <w:numFmt w:val="lowerLetter"/>
      <w:lvlText w:val="%5."/>
      <w:lvlJc w:val="left"/>
      <w:pPr>
        <w:ind w:left="4320" w:hanging="360"/>
      </w:pPr>
    </w:lvl>
    <w:lvl w:ilvl="5" w:tplc="52BED810" w:tentative="1">
      <w:start w:val="1"/>
      <w:numFmt w:val="lowerRoman"/>
      <w:lvlText w:val="%6."/>
      <w:lvlJc w:val="right"/>
      <w:pPr>
        <w:ind w:left="5040" w:hanging="180"/>
      </w:pPr>
    </w:lvl>
    <w:lvl w:ilvl="6" w:tplc="8A207302" w:tentative="1">
      <w:start w:val="1"/>
      <w:numFmt w:val="decimal"/>
      <w:lvlText w:val="%7."/>
      <w:lvlJc w:val="left"/>
      <w:pPr>
        <w:ind w:left="5760" w:hanging="360"/>
      </w:pPr>
    </w:lvl>
    <w:lvl w:ilvl="7" w:tplc="AD227282" w:tentative="1">
      <w:start w:val="1"/>
      <w:numFmt w:val="lowerLetter"/>
      <w:lvlText w:val="%8."/>
      <w:lvlJc w:val="left"/>
      <w:pPr>
        <w:ind w:left="6480" w:hanging="360"/>
      </w:pPr>
    </w:lvl>
    <w:lvl w:ilvl="8" w:tplc="887C9498" w:tentative="1">
      <w:start w:val="1"/>
      <w:numFmt w:val="lowerRoman"/>
      <w:lvlText w:val="%9."/>
      <w:lvlJc w:val="right"/>
      <w:pPr>
        <w:ind w:left="7200" w:hanging="180"/>
      </w:pPr>
    </w:lvl>
  </w:abstractNum>
  <w:abstractNum w:abstractNumId="18" w15:restartNumberingAfterBreak="0">
    <w:nsid w:val="365E030D"/>
    <w:multiLevelType w:val="hybridMultilevel"/>
    <w:tmpl w:val="50C4D274"/>
    <w:lvl w:ilvl="0" w:tplc="C7CA1402">
      <w:start w:val="1"/>
      <w:numFmt w:val="bullet"/>
      <w:lvlText w:val=""/>
      <w:lvlJc w:val="left"/>
      <w:pPr>
        <w:ind w:left="1440" w:hanging="360"/>
      </w:pPr>
      <w:rPr>
        <w:rFonts w:ascii="Wingdings" w:hAnsi="Wingdings" w:hint="default"/>
      </w:rPr>
    </w:lvl>
    <w:lvl w:ilvl="1" w:tplc="F4644C4A" w:tentative="1">
      <w:start w:val="1"/>
      <w:numFmt w:val="bullet"/>
      <w:lvlText w:val="o"/>
      <w:lvlJc w:val="left"/>
      <w:pPr>
        <w:ind w:left="2160" w:hanging="360"/>
      </w:pPr>
      <w:rPr>
        <w:rFonts w:ascii="Courier New" w:hAnsi="Courier New" w:cs="Courier New" w:hint="default"/>
      </w:rPr>
    </w:lvl>
    <w:lvl w:ilvl="2" w:tplc="159ED0BA" w:tentative="1">
      <w:start w:val="1"/>
      <w:numFmt w:val="bullet"/>
      <w:lvlText w:val=""/>
      <w:lvlJc w:val="left"/>
      <w:pPr>
        <w:ind w:left="2880" w:hanging="360"/>
      </w:pPr>
      <w:rPr>
        <w:rFonts w:ascii="Wingdings" w:hAnsi="Wingdings" w:hint="default"/>
      </w:rPr>
    </w:lvl>
    <w:lvl w:ilvl="3" w:tplc="1B92FD1A" w:tentative="1">
      <w:start w:val="1"/>
      <w:numFmt w:val="bullet"/>
      <w:lvlText w:val=""/>
      <w:lvlJc w:val="left"/>
      <w:pPr>
        <w:ind w:left="3600" w:hanging="360"/>
      </w:pPr>
      <w:rPr>
        <w:rFonts w:ascii="Symbol" w:hAnsi="Symbol" w:hint="default"/>
      </w:rPr>
    </w:lvl>
    <w:lvl w:ilvl="4" w:tplc="590208BE" w:tentative="1">
      <w:start w:val="1"/>
      <w:numFmt w:val="bullet"/>
      <w:lvlText w:val="o"/>
      <w:lvlJc w:val="left"/>
      <w:pPr>
        <w:ind w:left="4320" w:hanging="360"/>
      </w:pPr>
      <w:rPr>
        <w:rFonts w:ascii="Courier New" w:hAnsi="Courier New" w:cs="Courier New" w:hint="default"/>
      </w:rPr>
    </w:lvl>
    <w:lvl w:ilvl="5" w:tplc="BF9439A4" w:tentative="1">
      <w:start w:val="1"/>
      <w:numFmt w:val="bullet"/>
      <w:lvlText w:val=""/>
      <w:lvlJc w:val="left"/>
      <w:pPr>
        <w:ind w:left="5040" w:hanging="360"/>
      </w:pPr>
      <w:rPr>
        <w:rFonts w:ascii="Wingdings" w:hAnsi="Wingdings" w:hint="default"/>
      </w:rPr>
    </w:lvl>
    <w:lvl w:ilvl="6" w:tplc="B48CD2A0" w:tentative="1">
      <w:start w:val="1"/>
      <w:numFmt w:val="bullet"/>
      <w:lvlText w:val=""/>
      <w:lvlJc w:val="left"/>
      <w:pPr>
        <w:ind w:left="5760" w:hanging="360"/>
      </w:pPr>
      <w:rPr>
        <w:rFonts w:ascii="Symbol" w:hAnsi="Symbol" w:hint="default"/>
      </w:rPr>
    </w:lvl>
    <w:lvl w:ilvl="7" w:tplc="CF9AD620" w:tentative="1">
      <w:start w:val="1"/>
      <w:numFmt w:val="bullet"/>
      <w:lvlText w:val="o"/>
      <w:lvlJc w:val="left"/>
      <w:pPr>
        <w:ind w:left="6480" w:hanging="360"/>
      </w:pPr>
      <w:rPr>
        <w:rFonts w:ascii="Courier New" w:hAnsi="Courier New" w:cs="Courier New" w:hint="default"/>
      </w:rPr>
    </w:lvl>
    <w:lvl w:ilvl="8" w:tplc="24009B4E" w:tentative="1">
      <w:start w:val="1"/>
      <w:numFmt w:val="bullet"/>
      <w:lvlText w:val=""/>
      <w:lvlJc w:val="left"/>
      <w:pPr>
        <w:ind w:left="7200" w:hanging="360"/>
      </w:pPr>
      <w:rPr>
        <w:rFonts w:ascii="Wingdings" w:hAnsi="Wingdings" w:hint="default"/>
      </w:rPr>
    </w:lvl>
  </w:abstractNum>
  <w:abstractNum w:abstractNumId="19" w15:restartNumberingAfterBreak="0">
    <w:nsid w:val="3F5438F5"/>
    <w:multiLevelType w:val="hybridMultilevel"/>
    <w:tmpl w:val="9EE68196"/>
    <w:lvl w:ilvl="0" w:tplc="A1D27B20">
      <w:start w:val="1"/>
      <w:numFmt w:val="bullet"/>
      <w:lvlText w:val=""/>
      <w:lvlJc w:val="left"/>
      <w:pPr>
        <w:ind w:left="1440" w:hanging="360"/>
      </w:pPr>
      <w:rPr>
        <w:rFonts w:ascii="Wingdings" w:hAnsi="Wingdings" w:hint="default"/>
      </w:rPr>
    </w:lvl>
    <w:lvl w:ilvl="1" w:tplc="EA321AE6" w:tentative="1">
      <w:start w:val="1"/>
      <w:numFmt w:val="bullet"/>
      <w:lvlText w:val="o"/>
      <w:lvlJc w:val="left"/>
      <w:pPr>
        <w:ind w:left="2160" w:hanging="360"/>
      </w:pPr>
      <w:rPr>
        <w:rFonts w:ascii="Courier New" w:hAnsi="Courier New" w:cs="Courier New" w:hint="default"/>
      </w:rPr>
    </w:lvl>
    <w:lvl w:ilvl="2" w:tplc="7066559A" w:tentative="1">
      <w:start w:val="1"/>
      <w:numFmt w:val="bullet"/>
      <w:lvlText w:val=""/>
      <w:lvlJc w:val="left"/>
      <w:pPr>
        <w:ind w:left="2880" w:hanging="360"/>
      </w:pPr>
      <w:rPr>
        <w:rFonts w:ascii="Wingdings" w:hAnsi="Wingdings" w:hint="default"/>
      </w:rPr>
    </w:lvl>
    <w:lvl w:ilvl="3" w:tplc="44DAD176" w:tentative="1">
      <w:start w:val="1"/>
      <w:numFmt w:val="bullet"/>
      <w:lvlText w:val=""/>
      <w:lvlJc w:val="left"/>
      <w:pPr>
        <w:ind w:left="3600" w:hanging="360"/>
      </w:pPr>
      <w:rPr>
        <w:rFonts w:ascii="Symbol" w:hAnsi="Symbol" w:hint="default"/>
      </w:rPr>
    </w:lvl>
    <w:lvl w:ilvl="4" w:tplc="5BD0A9F8" w:tentative="1">
      <w:start w:val="1"/>
      <w:numFmt w:val="bullet"/>
      <w:lvlText w:val="o"/>
      <w:lvlJc w:val="left"/>
      <w:pPr>
        <w:ind w:left="4320" w:hanging="360"/>
      </w:pPr>
      <w:rPr>
        <w:rFonts w:ascii="Courier New" w:hAnsi="Courier New" w:cs="Courier New" w:hint="default"/>
      </w:rPr>
    </w:lvl>
    <w:lvl w:ilvl="5" w:tplc="1A88279E" w:tentative="1">
      <w:start w:val="1"/>
      <w:numFmt w:val="bullet"/>
      <w:lvlText w:val=""/>
      <w:lvlJc w:val="left"/>
      <w:pPr>
        <w:ind w:left="5040" w:hanging="360"/>
      </w:pPr>
      <w:rPr>
        <w:rFonts w:ascii="Wingdings" w:hAnsi="Wingdings" w:hint="default"/>
      </w:rPr>
    </w:lvl>
    <w:lvl w:ilvl="6" w:tplc="52ACFDB0" w:tentative="1">
      <w:start w:val="1"/>
      <w:numFmt w:val="bullet"/>
      <w:lvlText w:val=""/>
      <w:lvlJc w:val="left"/>
      <w:pPr>
        <w:ind w:left="5760" w:hanging="360"/>
      </w:pPr>
      <w:rPr>
        <w:rFonts w:ascii="Symbol" w:hAnsi="Symbol" w:hint="default"/>
      </w:rPr>
    </w:lvl>
    <w:lvl w:ilvl="7" w:tplc="D2827B12" w:tentative="1">
      <w:start w:val="1"/>
      <w:numFmt w:val="bullet"/>
      <w:lvlText w:val="o"/>
      <w:lvlJc w:val="left"/>
      <w:pPr>
        <w:ind w:left="6480" w:hanging="360"/>
      </w:pPr>
      <w:rPr>
        <w:rFonts w:ascii="Courier New" w:hAnsi="Courier New" w:cs="Courier New" w:hint="default"/>
      </w:rPr>
    </w:lvl>
    <w:lvl w:ilvl="8" w:tplc="CDC23FDA" w:tentative="1">
      <w:start w:val="1"/>
      <w:numFmt w:val="bullet"/>
      <w:lvlText w:val=""/>
      <w:lvlJc w:val="left"/>
      <w:pPr>
        <w:ind w:left="7200" w:hanging="360"/>
      </w:pPr>
      <w:rPr>
        <w:rFonts w:ascii="Wingdings" w:hAnsi="Wingdings" w:hint="default"/>
      </w:rPr>
    </w:lvl>
  </w:abstractNum>
  <w:abstractNum w:abstractNumId="20" w15:restartNumberingAfterBreak="0">
    <w:nsid w:val="4F2628BE"/>
    <w:multiLevelType w:val="hybridMultilevel"/>
    <w:tmpl w:val="70328656"/>
    <w:lvl w:ilvl="0" w:tplc="04548BEE">
      <w:start w:val="1"/>
      <w:numFmt w:val="bullet"/>
      <w:lvlText w:val=""/>
      <w:lvlJc w:val="left"/>
      <w:pPr>
        <w:ind w:left="1440" w:hanging="360"/>
      </w:pPr>
      <w:rPr>
        <w:rFonts w:ascii="Symbol" w:hAnsi="Symbol" w:hint="default"/>
      </w:rPr>
    </w:lvl>
    <w:lvl w:ilvl="1" w:tplc="8AE84FA0" w:tentative="1">
      <w:start w:val="1"/>
      <w:numFmt w:val="bullet"/>
      <w:lvlText w:val="o"/>
      <w:lvlJc w:val="left"/>
      <w:pPr>
        <w:ind w:left="2160" w:hanging="360"/>
      </w:pPr>
      <w:rPr>
        <w:rFonts w:ascii="Courier New" w:hAnsi="Courier New" w:cs="Courier New" w:hint="default"/>
      </w:rPr>
    </w:lvl>
    <w:lvl w:ilvl="2" w:tplc="07E4377A" w:tentative="1">
      <w:start w:val="1"/>
      <w:numFmt w:val="bullet"/>
      <w:lvlText w:val=""/>
      <w:lvlJc w:val="left"/>
      <w:pPr>
        <w:ind w:left="2880" w:hanging="360"/>
      </w:pPr>
      <w:rPr>
        <w:rFonts w:ascii="Wingdings" w:hAnsi="Wingdings" w:hint="default"/>
      </w:rPr>
    </w:lvl>
    <w:lvl w:ilvl="3" w:tplc="9B5A5FC2" w:tentative="1">
      <w:start w:val="1"/>
      <w:numFmt w:val="bullet"/>
      <w:lvlText w:val=""/>
      <w:lvlJc w:val="left"/>
      <w:pPr>
        <w:ind w:left="3600" w:hanging="360"/>
      </w:pPr>
      <w:rPr>
        <w:rFonts w:ascii="Symbol" w:hAnsi="Symbol" w:hint="default"/>
      </w:rPr>
    </w:lvl>
    <w:lvl w:ilvl="4" w:tplc="0ED0C892" w:tentative="1">
      <w:start w:val="1"/>
      <w:numFmt w:val="bullet"/>
      <w:lvlText w:val="o"/>
      <w:lvlJc w:val="left"/>
      <w:pPr>
        <w:ind w:left="4320" w:hanging="360"/>
      </w:pPr>
      <w:rPr>
        <w:rFonts w:ascii="Courier New" w:hAnsi="Courier New" w:cs="Courier New" w:hint="default"/>
      </w:rPr>
    </w:lvl>
    <w:lvl w:ilvl="5" w:tplc="0C046340" w:tentative="1">
      <w:start w:val="1"/>
      <w:numFmt w:val="bullet"/>
      <w:lvlText w:val=""/>
      <w:lvlJc w:val="left"/>
      <w:pPr>
        <w:ind w:left="5040" w:hanging="360"/>
      </w:pPr>
      <w:rPr>
        <w:rFonts w:ascii="Wingdings" w:hAnsi="Wingdings" w:hint="default"/>
      </w:rPr>
    </w:lvl>
    <w:lvl w:ilvl="6" w:tplc="E62E0744" w:tentative="1">
      <w:start w:val="1"/>
      <w:numFmt w:val="bullet"/>
      <w:lvlText w:val=""/>
      <w:lvlJc w:val="left"/>
      <w:pPr>
        <w:ind w:left="5760" w:hanging="360"/>
      </w:pPr>
      <w:rPr>
        <w:rFonts w:ascii="Symbol" w:hAnsi="Symbol" w:hint="default"/>
      </w:rPr>
    </w:lvl>
    <w:lvl w:ilvl="7" w:tplc="1C424FA6" w:tentative="1">
      <w:start w:val="1"/>
      <w:numFmt w:val="bullet"/>
      <w:lvlText w:val="o"/>
      <w:lvlJc w:val="left"/>
      <w:pPr>
        <w:ind w:left="6480" w:hanging="360"/>
      </w:pPr>
      <w:rPr>
        <w:rFonts w:ascii="Courier New" w:hAnsi="Courier New" w:cs="Courier New" w:hint="default"/>
      </w:rPr>
    </w:lvl>
    <w:lvl w:ilvl="8" w:tplc="F6966510" w:tentative="1">
      <w:start w:val="1"/>
      <w:numFmt w:val="bullet"/>
      <w:lvlText w:val=""/>
      <w:lvlJc w:val="left"/>
      <w:pPr>
        <w:ind w:left="7200" w:hanging="360"/>
      </w:pPr>
      <w:rPr>
        <w:rFonts w:ascii="Wingdings" w:hAnsi="Wingdings" w:hint="default"/>
      </w:rPr>
    </w:lvl>
  </w:abstractNum>
  <w:abstractNum w:abstractNumId="21" w15:restartNumberingAfterBreak="0">
    <w:nsid w:val="53884127"/>
    <w:multiLevelType w:val="multilevel"/>
    <w:tmpl w:val="6138F5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C064E3"/>
    <w:multiLevelType w:val="hybridMultilevel"/>
    <w:tmpl w:val="25382DE2"/>
    <w:lvl w:ilvl="0" w:tplc="2E1AE4DC">
      <w:start w:val="1"/>
      <w:numFmt w:val="bullet"/>
      <w:lvlText w:val=""/>
      <w:lvlJc w:val="left"/>
      <w:pPr>
        <w:ind w:left="1440" w:hanging="360"/>
      </w:pPr>
      <w:rPr>
        <w:rFonts w:ascii="Symbol" w:hAnsi="Symbol" w:hint="default"/>
      </w:rPr>
    </w:lvl>
    <w:lvl w:ilvl="1" w:tplc="733090DC" w:tentative="1">
      <w:start w:val="1"/>
      <w:numFmt w:val="bullet"/>
      <w:lvlText w:val="o"/>
      <w:lvlJc w:val="left"/>
      <w:pPr>
        <w:ind w:left="2160" w:hanging="360"/>
      </w:pPr>
      <w:rPr>
        <w:rFonts w:ascii="Courier New" w:hAnsi="Courier New" w:hint="default"/>
      </w:rPr>
    </w:lvl>
    <w:lvl w:ilvl="2" w:tplc="E64A309E" w:tentative="1">
      <w:start w:val="1"/>
      <w:numFmt w:val="bullet"/>
      <w:lvlText w:val=""/>
      <w:lvlJc w:val="left"/>
      <w:pPr>
        <w:ind w:left="2880" w:hanging="360"/>
      </w:pPr>
      <w:rPr>
        <w:rFonts w:ascii="Wingdings" w:hAnsi="Wingdings" w:hint="default"/>
      </w:rPr>
    </w:lvl>
    <w:lvl w:ilvl="3" w:tplc="87820D88" w:tentative="1">
      <w:start w:val="1"/>
      <w:numFmt w:val="bullet"/>
      <w:lvlText w:val=""/>
      <w:lvlJc w:val="left"/>
      <w:pPr>
        <w:ind w:left="3600" w:hanging="360"/>
      </w:pPr>
      <w:rPr>
        <w:rFonts w:ascii="Symbol" w:hAnsi="Symbol" w:hint="default"/>
      </w:rPr>
    </w:lvl>
    <w:lvl w:ilvl="4" w:tplc="7D688040" w:tentative="1">
      <w:start w:val="1"/>
      <w:numFmt w:val="bullet"/>
      <w:lvlText w:val="o"/>
      <w:lvlJc w:val="left"/>
      <w:pPr>
        <w:ind w:left="4320" w:hanging="360"/>
      </w:pPr>
      <w:rPr>
        <w:rFonts w:ascii="Courier New" w:hAnsi="Courier New" w:hint="default"/>
      </w:rPr>
    </w:lvl>
    <w:lvl w:ilvl="5" w:tplc="A372D8C2" w:tentative="1">
      <w:start w:val="1"/>
      <w:numFmt w:val="bullet"/>
      <w:lvlText w:val=""/>
      <w:lvlJc w:val="left"/>
      <w:pPr>
        <w:ind w:left="5040" w:hanging="360"/>
      </w:pPr>
      <w:rPr>
        <w:rFonts w:ascii="Wingdings" w:hAnsi="Wingdings" w:hint="default"/>
      </w:rPr>
    </w:lvl>
    <w:lvl w:ilvl="6" w:tplc="30268ECE" w:tentative="1">
      <w:start w:val="1"/>
      <w:numFmt w:val="bullet"/>
      <w:lvlText w:val=""/>
      <w:lvlJc w:val="left"/>
      <w:pPr>
        <w:ind w:left="5760" w:hanging="360"/>
      </w:pPr>
      <w:rPr>
        <w:rFonts w:ascii="Symbol" w:hAnsi="Symbol" w:hint="default"/>
      </w:rPr>
    </w:lvl>
    <w:lvl w:ilvl="7" w:tplc="195432F8" w:tentative="1">
      <w:start w:val="1"/>
      <w:numFmt w:val="bullet"/>
      <w:lvlText w:val="o"/>
      <w:lvlJc w:val="left"/>
      <w:pPr>
        <w:ind w:left="6480" w:hanging="360"/>
      </w:pPr>
      <w:rPr>
        <w:rFonts w:ascii="Courier New" w:hAnsi="Courier New" w:hint="default"/>
      </w:rPr>
    </w:lvl>
    <w:lvl w:ilvl="8" w:tplc="B7C21406" w:tentative="1">
      <w:start w:val="1"/>
      <w:numFmt w:val="bullet"/>
      <w:lvlText w:val=""/>
      <w:lvlJc w:val="left"/>
      <w:pPr>
        <w:ind w:left="7200" w:hanging="360"/>
      </w:pPr>
      <w:rPr>
        <w:rFonts w:ascii="Wingdings" w:hAnsi="Wingdings" w:hint="default"/>
      </w:rPr>
    </w:lvl>
  </w:abstractNum>
  <w:abstractNum w:abstractNumId="23" w15:restartNumberingAfterBreak="0">
    <w:nsid w:val="57BD2E1B"/>
    <w:multiLevelType w:val="hybridMultilevel"/>
    <w:tmpl w:val="83D29168"/>
    <w:lvl w:ilvl="0" w:tplc="4B508988">
      <w:start w:val="1"/>
      <w:numFmt w:val="decimal"/>
      <w:lvlText w:val="%1."/>
      <w:lvlJc w:val="left"/>
      <w:pPr>
        <w:ind w:left="1440" w:hanging="360"/>
      </w:pPr>
    </w:lvl>
    <w:lvl w:ilvl="1" w:tplc="C5D888A0" w:tentative="1">
      <w:start w:val="1"/>
      <w:numFmt w:val="lowerLetter"/>
      <w:lvlText w:val="%2."/>
      <w:lvlJc w:val="left"/>
      <w:pPr>
        <w:ind w:left="2160" w:hanging="360"/>
      </w:pPr>
    </w:lvl>
    <w:lvl w:ilvl="2" w:tplc="DE64430C" w:tentative="1">
      <w:start w:val="1"/>
      <w:numFmt w:val="lowerRoman"/>
      <w:lvlText w:val="%3."/>
      <w:lvlJc w:val="right"/>
      <w:pPr>
        <w:ind w:left="2880" w:hanging="180"/>
      </w:pPr>
    </w:lvl>
    <w:lvl w:ilvl="3" w:tplc="A074206C" w:tentative="1">
      <w:start w:val="1"/>
      <w:numFmt w:val="decimal"/>
      <w:lvlText w:val="%4."/>
      <w:lvlJc w:val="left"/>
      <w:pPr>
        <w:ind w:left="3600" w:hanging="360"/>
      </w:pPr>
    </w:lvl>
    <w:lvl w:ilvl="4" w:tplc="37308680" w:tentative="1">
      <w:start w:val="1"/>
      <w:numFmt w:val="lowerLetter"/>
      <w:lvlText w:val="%5."/>
      <w:lvlJc w:val="left"/>
      <w:pPr>
        <w:ind w:left="4320" w:hanging="360"/>
      </w:pPr>
    </w:lvl>
    <w:lvl w:ilvl="5" w:tplc="83F60518" w:tentative="1">
      <w:start w:val="1"/>
      <w:numFmt w:val="lowerRoman"/>
      <w:lvlText w:val="%6."/>
      <w:lvlJc w:val="right"/>
      <w:pPr>
        <w:ind w:left="5040" w:hanging="180"/>
      </w:pPr>
    </w:lvl>
    <w:lvl w:ilvl="6" w:tplc="BD2246AE" w:tentative="1">
      <w:start w:val="1"/>
      <w:numFmt w:val="decimal"/>
      <w:lvlText w:val="%7."/>
      <w:lvlJc w:val="left"/>
      <w:pPr>
        <w:ind w:left="5760" w:hanging="360"/>
      </w:pPr>
    </w:lvl>
    <w:lvl w:ilvl="7" w:tplc="E8E08D9C" w:tentative="1">
      <w:start w:val="1"/>
      <w:numFmt w:val="lowerLetter"/>
      <w:lvlText w:val="%8."/>
      <w:lvlJc w:val="left"/>
      <w:pPr>
        <w:ind w:left="6480" w:hanging="360"/>
      </w:pPr>
    </w:lvl>
    <w:lvl w:ilvl="8" w:tplc="2AC40702" w:tentative="1">
      <w:start w:val="1"/>
      <w:numFmt w:val="lowerRoman"/>
      <w:lvlText w:val="%9."/>
      <w:lvlJc w:val="right"/>
      <w:pPr>
        <w:ind w:left="7200" w:hanging="180"/>
      </w:pPr>
    </w:lvl>
  </w:abstractNum>
  <w:abstractNum w:abstractNumId="24" w15:restartNumberingAfterBreak="0">
    <w:nsid w:val="5B2C60A4"/>
    <w:multiLevelType w:val="hybridMultilevel"/>
    <w:tmpl w:val="E24ACFE2"/>
    <w:lvl w:ilvl="0" w:tplc="19287C74">
      <w:start w:val="1"/>
      <w:numFmt w:val="bullet"/>
      <w:lvlText w:val="-"/>
      <w:lvlJc w:val="left"/>
      <w:pPr>
        <w:ind w:left="990" w:hanging="360"/>
      </w:pPr>
      <w:rPr>
        <w:rFonts w:ascii="Times New Roman" w:eastAsiaTheme="minorHAnsi" w:hAnsi="Times New Roman" w:cs="Times New Roman"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25" w15:restartNumberingAfterBreak="0">
    <w:nsid w:val="5F8D7906"/>
    <w:multiLevelType w:val="multilevel"/>
    <w:tmpl w:val="58345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EC53993"/>
    <w:multiLevelType w:val="hybridMultilevel"/>
    <w:tmpl w:val="110650D8"/>
    <w:lvl w:ilvl="0" w:tplc="B19E8C52">
      <w:start w:val="1"/>
      <w:numFmt w:val="bullet"/>
      <w:lvlText w:val=""/>
      <w:lvlJc w:val="left"/>
      <w:pPr>
        <w:ind w:left="1440" w:hanging="360"/>
      </w:pPr>
      <w:rPr>
        <w:rFonts w:ascii="Wingdings" w:hAnsi="Wingdings" w:hint="default"/>
      </w:rPr>
    </w:lvl>
    <w:lvl w:ilvl="1" w:tplc="BAB099C0" w:tentative="1">
      <w:start w:val="1"/>
      <w:numFmt w:val="bullet"/>
      <w:lvlText w:val="o"/>
      <w:lvlJc w:val="left"/>
      <w:pPr>
        <w:ind w:left="2160" w:hanging="360"/>
      </w:pPr>
      <w:rPr>
        <w:rFonts w:ascii="Courier New" w:hAnsi="Courier New" w:cs="Courier New" w:hint="default"/>
      </w:rPr>
    </w:lvl>
    <w:lvl w:ilvl="2" w:tplc="09E27824" w:tentative="1">
      <w:start w:val="1"/>
      <w:numFmt w:val="bullet"/>
      <w:lvlText w:val=""/>
      <w:lvlJc w:val="left"/>
      <w:pPr>
        <w:ind w:left="2880" w:hanging="360"/>
      </w:pPr>
      <w:rPr>
        <w:rFonts w:ascii="Wingdings" w:hAnsi="Wingdings" w:hint="default"/>
      </w:rPr>
    </w:lvl>
    <w:lvl w:ilvl="3" w:tplc="96B424FA" w:tentative="1">
      <w:start w:val="1"/>
      <w:numFmt w:val="bullet"/>
      <w:lvlText w:val=""/>
      <w:lvlJc w:val="left"/>
      <w:pPr>
        <w:ind w:left="3600" w:hanging="360"/>
      </w:pPr>
      <w:rPr>
        <w:rFonts w:ascii="Symbol" w:hAnsi="Symbol" w:hint="default"/>
      </w:rPr>
    </w:lvl>
    <w:lvl w:ilvl="4" w:tplc="F8325BE0" w:tentative="1">
      <w:start w:val="1"/>
      <w:numFmt w:val="bullet"/>
      <w:lvlText w:val="o"/>
      <w:lvlJc w:val="left"/>
      <w:pPr>
        <w:ind w:left="4320" w:hanging="360"/>
      </w:pPr>
      <w:rPr>
        <w:rFonts w:ascii="Courier New" w:hAnsi="Courier New" w:cs="Courier New" w:hint="default"/>
      </w:rPr>
    </w:lvl>
    <w:lvl w:ilvl="5" w:tplc="208A9D46" w:tentative="1">
      <w:start w:val="1"/>
      <w:numFmt w:val="bullet"/>
      <w:lvlText w:val=""/>
      <w:lvlJc w:val="left"/>
      <w:pPr>
        <w:ind w:left="5040" w:hanging="360"/>
      </w:pPr>
      <w:rPr>
        <w:rFonts w:ascii="Wingdings" w:hAnsi="Wingdings" w:hint="default"/>
      </w:rPr>
    </w:lvl>
    <w:lvl w:ilvl="6" w:tplc="11FC7366" w:tentative="1">
      <w:start w:val="1"/>
      <w:numFmt w:val="bullet"/>
      <w:lvlText w:val=""/>
      <w:lvlJc w:val="left"/>
      <w:pPr>
        <w:ind w:left="5760" w:hanging="360"/>
      </w:pPr>
      <w:rPr>
        <w:rFonts w:ascii="Symbol" w:hAnsi="Symbol" w:hint="default"/>
      </w:rPr>
    </w:lvl>
    <w:lvl w:ilvl="7" w:tplc="A22C0734" w:tentative="1">
      <w:start w:val="1"/>
      <w:numFmt w:val="bullet"/>
      <w:lvlText w:val="o"/>
      <w:lvlJc w:val="left"/>
      <w:pPr>
        <w:ind w:left="6480" w:hanging="360"/>
      </w:pPr>
      <w:rPr>
        <w:rFonts w:ascii="Courier New" w:hAnsi="Courier New" w:cs="Courier New" w:hint="default"/>
      </w:rPr>
    </w:lvl>
    <w:lvl w:ilvl="8" w:tplc="C1B6E8B8" w:tentative="1">
      <w:start w:val="1"/>
      <w:numFmt w:val="bullet"/>
      <w:lvlText w:val=""/>
      <w:lvlJc w:val="left"/>
      <w:pPr>
        <w:ind w:left="7200" w:hanging="360"/>
      </w:pPr>
      <w:rPr>
        <w:rFonts w:ascii="Wingdings" w:hAnsi="Wingdings" w:hint="default"/>
      </w:rPr>
    </w:lvl>
  </w:abstractNum>
  <w:abstractNum w:abstractNumId="27" w15:restartNumberingAfterBreak="0">
    <w:nsid w:val="6F5C60D3"/>
    <w:multiLevelType w:val="hybridMultilevel"/>
    <w:tmpl w:val="7682E316"/>
    <w:lvl w:ilvl="0" w:tplc="C9A65F92">
      <w:start w:val="1"/>
      <w:numFmt w:val="bullet"/>
      <w:lvlText w:val=""/>
      <w:lvlJc w:val="left"/>
      <w:pPr>
        <w:ind w:left="1440" w:hanging="360"/>
      </w:pPr>
      <w:rPr>
        <w:rFonts w:ascii="Wingdings" w:hAnsi="Wingdings" w:hint="default"/>
      </w:rPr>
    </w:lvl>
    <w:lvl w:ilvl="1" w:tplc="E2520798" w:tentative="1">
      <w:start w:val="1"/>
      <w:numFmt w:val="bullet"/>
      <w:lvlText w:val="o"/>
      <w:lvlJc w:val="left"/>
      <w:pPr>
        <w:ind w:left="2160" w:hanging="360"/>
      </w:pPr>
      <w:rPr>
        <w:rFonts w:ascii="Courier New" w:hAnsi="Courier New" w:cs="Courier New" w:hint="default"/>
      </w:rPr>
    </w:lvl>
    <w:lvl w:ilvl="2" w:tplc="8C1A25B8" w:tentative="1">
      <w:start w:val="1"/>
      <w:numFmt w:val="bullet"/>
      <w:lvlText w:val=""/>
      <w:lvlJc w:val="left"/>
      <w:pPr>
        <w:ind w:left="2880" w:hanging="360"/>
      </w:pPr>
      <w:rPr>
        <w:rFonts w:ascii="Wingdings" w:hAnsi="Wingdings" w:hint="default"/>
      </w:rPr>
    </w:lvl>
    <w:lvl w:ilvl="3" w:tplc="48B4B930" w:tentative="1">
      <w:start w:val="1"/>
      <w:numFmt w:val="bullet"/>
      <w:lvlText w:val=""/>
      <w:lvlJc w:val="left"/>
      <w:pPr>
        <w:ind w:left="3600" w:hanging="360"/>
      </w:pPr>
      <w:rPr>
        <w:rFonts w:ascii="Symbol" w:hAnsi="Symbol" w:hint="default"/>
      </w:rPr>
    </w:lvl>
    <w:lvl w:ilvl="4" w:tplc="D6D65A9C" w:tentative="1">
      <w:start w:val="1"/>
      <w:numFmt w:val="bullet"/>
      <w:lvlText w:val="o"/>
      <w:lvlJc w:val="left"/>
      <w:pPr>
        <w:ind w:left="4320" w:hanging="360"/>
      </w:pPr>
      <w:rPr>
        <w:rFonts w:ascii="Courier New" w:hAnsi="Courier New" w:cs="Courier New" w:hint="default"/>
      </w:rPr>
    </w:lvl>
    <w:lvl w:ilvl="5" w:tplc="885CC816" w:tentative="1">
      <w:start w:val="1"/>
      <w:numFmt w:val="bullet"/>
      <w:lvlText w:val=""/>
      <w:lvlJc w:val="left"/>
      <w:pPr>
        <w:ind w:left="5040" w:hanging="360"/>
      </w:pPr>
      <w:rPr>
        <w:rFonts w:ascii="Wingdings" w:hAnsi="Wingdings" w:hint="default"/>
      </w:rPr>
    </w:lvl>
    <w:lvl w:ilvl="6" w:tplc="A2203A82" w:tentative="1">
      <w:start w:val="1"/>
      <w:numFmt w:val="bullet"/>
      <w:lvlText w:val=""/>
      <w:lvlJc w:val="left"/>
      <w:pPr>
        <w:ind w:left="5760" w:hanging="360"/>
      </w:pPr>
      <w:rPr>
        <w:rFonts w:ascii="Symbol" w:hAnsi="Symbol" w:hint="default"/>
      </w:rPr>
    </w:lvl>
    <w:lvl w:ilvl="7" w:tplc="13028A10" w:tentative="1">
      <w:start w:val="1"/>
      <w:numFmt w:val="bullet"/>
      <w:lvlText w:val="o"/>
      <w:lvlJc w:val="left"/>
      <w:pPr>
        <w:ind w:left="6480" w:hanging="360"/>
      </w:pPr>
      <w:rPr>
        <w:rFonts w:ascii="Courier New" w:hAnsi="Courier New" w:cs="Courier New" w:hint="default"/>
      </w:rPr>
    </w:lvl>
    <w:lvl w:ilvl="8" w:tplc="07ACB74A" w:tentative="1">
      <w:start w:val="1"/>
      <w:numFmt w:val="bullet"/>
      <w:lvlText w:val=""/>
      <w:lvlJc w:val="left"/>
      <w:pPr>
        <w:ind w:left="7200" w:hanging="360"/>
      </w:pPr>
      <w:rPr>
        <w:rFonts w:ascii="Wingdings" w:hAnsi="Wingdings" w:hint="default"/>
      </w:rPr>
    </w:lvl>
  </w:abstractNum>
  <w:abstractNum w:abstractNumId="28" w15:restartNumberingAfterBreak="0">
    <w:nsid w:val="749D70A4"/>
    <w:multiLevelType w:val="hybridMultilevel"/>
    <w:tmpl w:val="04128EB2"/>
    <w:lvl w:ilvl="0" w:tplc="E5F8FAB8">
      <w:start w:val="1"/>
      <w:numFmt w:val="decimal"/>
      <w:lvlText w:val="%1."/>
      <w:lvlJc w:val="left"/>
      <w:pPr>
        <w:ind w:left="1440" w:hanging="360"/>
      </w:pPr>
      <w:rPr>
        <w:rFonts w:hint="default"/>
      </w:rPr>
    </w:lvl>
    <w:lvl w:ilvl="1" w:tplc="2A02FE6C" w:tentative="1">
      <w:start w:val="1"/>
      <w:numFmt w:val="bullet"/>
      <w:lvlText w:val="o"/>
      <w:lvlJc w:val="left"/>
      <w:pPr>
        <w:ind w:left="2160" w:hanging="360"/>
      </w:pPr>
      <w:rPr>
        <w:rFonts w:ascii="Courier New" w:hAnsi="Courier New" w:cs="Courier New" w:hint="default"/>
      </w:rPr>
    </w:lvl>
    <w:lvl w:ilvl="2" w:tplc="1612F402" w:tentative="1">
      <w:start w:val="1"/>
      <w:numFmt w:val="bullet"/>
      <w:lvlText w:val=""/>
      <w:lvlJc w:val="left"/>
      <w:pPr>
        <w:ind w:left="2880" w:hanging="360"/>
      </w:pPr>
      <w:rPr>
        <w:rFonts w:ascii="Wingdings" w:hAnsi="Wingdings" w:hint="default"/>
      </w:rPr>
    </w:lvl>
    <w:lvl w:ilvl="3" w:tplc="916ED4F4" w:tentative="1">
      <w:start w:val="1"/>
      <w:numFmt w:val="bullet"/>
      <w:lvlText w:val=""/>
      <w:lvlJc w:val="left"/>
      <w:pPr>
        <w:ind w:left="3600" w:hanging="360"/>
      </w:pPr>
      <w:rPr>
        <w:rFonts w:ascii="Symbol" w:hAnsi="Symbol" w:hint="default"/>
      </w:rPr>
    </w:lvl>
    <w:lvl w:ilvl="4" w:tplc="0E4608C6" w:tentative="1">
      <w:start w:val="1"/>
      <w:numFmt w:val="bullet"/>
      <w:lvlText w:val="o"/>
      <w:lvlJc w:val="left"/>
      <w:pPr>
        <w:ind w:left="4320" w:hanging="360"/>
      </w:pPr>
      <w:rPr>
        <w:rFonts w:ascii="Courier New" w:hAnsi="Courier New" w:cs="Courier New" w:hint="default"/>
      </w:rPr>
    </w:lvl>
    <w:lvl w:ilvl="5" w:tplc="E1F02ECA" w:tentative="1">
      <w:start w:val="1"/>
      <w:numFmt w:val="bullet"/>
      <w:lvlText w:val=""/>
      <w:lvlJc w:val="left"/>
      <w:pPr>
        <w:ind w:left="5040" w:hanging="360"/>
      </w:pPr>
      <w:rPr>
        <w:rFonts w:ascii="Wingdings" w:hAnsi="Wingdings" w:hint="default"/>
      </w:rPr>
    </w:lvl>
    <w:lvl w:ilvl="6" w:tplc="769E1098" w:tentative="1">
      <w:start w:val="1"/>
      <w:numFmt w:val="bullet"/>
      <w:lvlText w:val=""/>
      <w:lvlJc w:val="left"/>
      <w:pPr>
        <w:ind w:left="5760" w:hanging="360"/>
      </w:pPr>
      <w:rPr>
        <w:rFonts w:ascii="Symbol" w:hAnsi="Symbol" w:hint="default"/>
      </w:rPr>
    </w:lvl>
    <w:lvl w:ilvl="7" w:tplc="F3C0AE00" w:tentative="1">
      <w:start w:val="1"/>
      <w:numFmt w:val="bullet"/>
      <w:lvlText w:val="o"/>
      <w:lvlJc w:val="left"/>
      <w:pPr>
        <w:ind w:left="6480" w:hanging="360"/>
      </w:pPr>
      <w:rPr>
        <w:rFonts w:ascii="Courier New" w:hAnsi="Courier New" w:cs="Courier New" w:hint="default"/>
      </w:rPr>
    </w:lvl>
    <w:lvl w:ilvl="8" w:tplc="A80C863E" w:tentative="1">
      <w:start w:val="1"/>
      <w:numFmt w:val="bullet"/>
      <w:lvlText w:val=""/>
      <w:lvlJc w:val="left"/>
      <w:pPr>
        <w:ind w:left="7200" w:hanging="360"/>
      </w:pPr>
      <w:rPr>
        <w:rFonts w:ascii="Wingdings" w:hAnsi="Wingdings" w:hint="default"/>
      </w:rPr>
    </w:lvl>
  </w:abstractNum>
  <w:abstractNum w:abstractNumId="29" w15:restartNumberingAfterBreak="0">
    <w:nsid w:val="795D4166"/>
    <w:multiLevelType w:val="hybridMultilevel"/>
    <w:tmpl w:val="6118586C"/>
    <w:lvl w:ilvl="0" w:tplc="1F2C46E2">
      <w:start w:val="1"/>
      <w:numFmt w:val="bullet"/>
      <w:lvlText w:val="•"/>
      <w:lvlJc w:val="left"/>
      <w:pPr>
        <w:tabs>
          <w:tab w:val="num" w:pos="720"/>
        </w:tabs>
        <w:ind w:left="720" w:hanging="360"/>
      </w:pPr>
      <w:rPr>
        <w:rFonts w:ascii="Arial" w:hAnsi="Arial" w:hint="default"/>
      </w:rPr>
    </w:lvl>
    <w:lvl w:ilvl="1" w:tplc="BBAE712A" w:tentative="1">
      <w:start w:val="1"/>
      <w:numFmt w:val="bullet"/>
      <w:lvlText w:val="•"/>
      <w:lvlJc w:val="left"/>
      <w:pPr>
        <w:tabs>
          <w:tab w:val="num" w:pos="1440"/>
        </w:tabs>
        <w:ind w:left="1440" w:hanging="360"/>
      </w:pPr>
      <w:rPr>
        <w:rFonts w:ascii="Arial" w:hAnsi="Arial" w:hint="default"/>
      </w:rPr>
    </w:lvl>
    <w:lvl w:ilvl="2" w:tplc="D6308994" w:tentative="1">
      <w:start w:val="1"/>
      <w:numFmt w:val="bullet"/>
      <w:lvlText w:val="•"/>
      <w:lvlJc w:val="left"/>
      <w:pPr>
        <w:tabs>
          <w:tab w:val="num" w:pos="2160"/>
        </w:tabs>
        <w:ind w:left="2160" w:hanging="360"/>
      </w:pPr>
      <w:rPr>
        <w:rFonts w:ascii="Arial" w:hAnsi="Arial" w:hint="default"/>
      </w:rPr>
    </w:lvl>
    <w:lvl w:ilvl="3" w:tplc="7A4C14E0" w:tentative="1">
      <w:start w:val="1"/>
      <w:numFmt w:val="bullet"/>
      <w:lvlText w:val="•"/>
      <w:lvlJc w:val="left"/>
      <w:pPr>
        <w:tabs>
          <w:tab w:val="num" w:pos="2880"/>
        </w:tabs>
        <w:ind w:left="2880" w:hanging="360"/>
      </w:pPr>
      <w:rPr>
        <w:rFonts w:ascii="Arial" w:hAnsi="Arial" w:hint="default"/>
      </w:rPr>
    </w:lvl>
    <w:lvl w:ilvl="4" w:tplc="3C644108" w:tentative="1">
      <w:start w:val="1"/>
      <w:numFmt w:val="bullet"/>
      <w:lvlText w:val="•"/>
      <w:lvlJc w:val="left"/>
      <w:pPr>
        <w:tabs>
          <w:tab w:val="num" w:pos="3600"/>
        </w:tabs>
        <w:ind w:left="3600" w:hanging="360"/>
      </w:pPr>
      <w:rPr>
        <w:rFonts w:ascii="Arial" w:hAnsi="Arial" w:hint="default"/>
      </w:rPr>
    </w:lvl>
    <w:lvl w:ilvl="5" w:tplc="254E64C4" w:tentative="1">
      <w:start w:val="1"/>
      <w:numFmt w:val="bullet"/>
      <w:lvlText w:val="•"/>
      <w:lvlJc w:val="left"/>
      <w:pPr>
        <w:tabs>
          <w:tab w:val="num" w:pos="4320"/>
        </w:tabs>
        <w:ind w:left="4320" w:hanging="360"/>
      </w:pPr>
      <w:rPr>
        <w:rFonts w:ascii="Arial" w:hAnsi="Arial" w:hint="default"/>
      </w:rPr>
    </w:lvl>
    <w:lvl w:ilvl="6" w:tplc="0DCEEA38" w:tentative="1">
      <w:start w:val="1"/>
      <w:numFmt w:val="bullet"/>
      <w:lvlText w:val="•"/>
      <w:lvlJc w:val="left"/>
      <w:pPr>
        <w:tabs>
          <w:tab w:val="num" w:pos="5040"/>
        </w:tabs>
        <w:ind w:left="5040" w:hanging="360"/>
      </w:pPr>
      <w:rPr>
        <w:rFonts w:ascii="Arial" w:hAnsi="Arial" w:hint="default"/>
      </w:rPr>
    </w:lvl>
    <w:lvl w:ilvl="7" w:tplc="060A312C" w:tentative="1">
      <w:start w:val="1"/>
      <w:numFmt w:val="bullet"/>
      <w:lvlText w:val="•"/>
      <w:lvlJc w:val="left"/>
      <w:pPr>
        <w:tabs>
          <w:tab w:val="num" w:pos="5760"/>
        </w:tabs>
        <w:ind w:left="5760" w:hanging="360"/>
      </w:pPr>
      <w:rPr>
        <w:rFonts w:ascii="Arial" w:hAnsi="Arial" w:hint="default"/>
      </w:rPr>
    </w:lvl>
    <w:lvl w:ilvl="8" w:tplc="B3822B3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C3E399C"/>
    <w:multiLevelType w:val="multilevel"/>
    <w:tmpl w:val="C562E2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25"/>
  </w:num>
  <w:num w:numId="3">
    <w:abstractNumId w:val="23"/>
  </w:num>
  <w:num w:numId="4">
    <w:abstractNumId w:val="22"/>
  </w:num>
  <w:num w:numId="5">
    <w:abstractNumId w:val="17"/>
  </w:num>
  <w:num w:numId="6">
    <w:abstractNumId w:val="26"/>
  </w:num>
  <w:num w:numId="7">
    <w:abstractNumId w:val="28"/>
  </w:num>
  <w:num w:numId="8">
    <w:abstractNumId w:val="8"/>
  </w:num>
  <w:num w:numId="9">
    <w:abstractNumId w:val="19"/>
  </w:num>
  <w:num w:numId="10">
    <w:abstractNumId w:val="10"/>
  </w:num>
  <w:num w:numId="11">
    <w:abstractNumId w:val="13"/>
  </w:num>
  <w:num w:numId="12">
    <w:abstractNumId w:val="16"/>
  </w:num>
  <w:num w:numId="13">
    <w:abstractNumId w:val="21"/>
    <w:lvlOverride w:ilvl="0">
      <w:lvl w:ilvl="0">
        <w:numFmt w:val="bullet"/>
        <w:lvlText w:val=""/>
        <w:lvlJc w:val="left"/>
        <w:pPr>
          <w:tabs>
            <w:tab w:val="num" w:pos="720"/>
          </w:tabs>
          <w:ind w:left="720" w:hanging="360"/>
        </w:pPr>
        <w:rPr>
          <w:rFonts w:ascii="Symbol" w:hAnsi="Symbol" w:hint="default"/>
          <w:sz w:val="20"/>
        </w:rPr>
      </w:lvl>
    </w:lvlOverride>
  </w:num>
  <w:num w:numId="14">
    <w:abstractNumId w:val="20"/>
  </w:num>
  <w:num w:numId="15">
    <w:abstractNumId w:val="15"/>
  </w:num>
  <w:num w:numId="16">
    <w:abstractNumId w:val="27"/>
  </w:num>
  <w:num w:numId="17">
    <w:abstractNumId w:val="30"/>
  </w:num>
  <w:num w:numId="18">
    <w:abstractNumId w:val="6"/>
  </w:num>
  <w:num w:numId="19">
    <w:abstractNumId w:val="12"/>
  </w:num>
  <w:num w:numId="20">
    <w:abstractNumId w:val="7"/>
  </w:num>
  <w:num w:numId="21">
    <w:abstractNumId w:val="18"/>
  </w:num>
  <w:num w:numId="22">
    <w:abstractNumId w:val="1"/>
  </w:num>
  <w:num w:numId="23">
    <w:abstractNumId w:val="0"/>
  </w:num>
  <w:num w:numId="24">
    <w:abstractNumId w:val="5"/>
  </w:num>
  <w:num w:numId="25">
    <w:abstractNumId w:val="4"/>
  </w:num>
  <w:num w:numId="26">
    <w:abstractNumId w:val="3"/>
  </w:num>
  <w:num w:numId="27">
    <w:abstractNumId w:val="2"/>
  </w:num>
  <w:num w:numId="28">
    <w:abstractNumId w:val="9"/>
  </w:num>
  <w:num w:numId="29">
    <w:abstractNumId w:val="11"/>
  </w:num>
  <w:num w:numId="30">
    <w:abstractNumId w:val="24"/>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4"/>
  <w:activeWritingStyle w:appName="MSWord" w:lang="en-US" w:vendorID="64" w:dllVersion="6" w:nlCheck="1" w:checkStyle="0"/>
  <w:activeWritingStyle w:appName="MSWord" w:lang="en-US" w:vendorID="64" w:dllVersion="0" w:nlCheck="1" w:checkStyle="0"/>
  <w:activeWritingStyle w:appName="MSWord" w:lang="es-CO" w:vendorID="64" w:dllVersion="0" w:nlCheck="1" w:checkStyle="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WwMLM0MzA1MzUyNDdX0lEKTi0uzszPAymwqAUAuXDG0ywAAAA="/>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pv0svx92d9at8efs26vverg2txfvd9pef99&quot;&gt;Hidreletricas Amazonia&lt;record-ids&gt;&lt;item&gt;15&lt;/item&gt;&lt;item&gt;20&lt;/item&gt;&lt;item&gt;24&lt;/item&gt;&lt;item&gt;25&lt;/item&gt;&lt;item&gt;30&lt;/item&gt;&lt;item&gt;33&lt;/item&gt;&lt;item&gt;34&lt;/item&gt;&lt;item&gt;46&lt;/item&gt;&lt;item&gt;63&lt;/item&gt;&lt;item&gt;64&lt;/item&gt;&lt;item&gt;65&lt;/item&gt;&lt;/record-ids&gt;&lt;/item&gt;&lt;/Libraries&gt;"/>
  </w:docVars>
  <w:rsids>
    <w:rsidRoot w:val="00CA5C01"/>
    <w:rsid w:val="00003D07"/>
    <w:rsid w:val="0000595A"/>
    <w:rsid w:val="00012FEA"/>
    <w:rsid w:val="00031C57"/>
    <w:rsid w:val="00033872"/>
    <w:rsid w:val="00033AE6"/>
    <w:rsid w:val="00033D04"/>
    <w:rsid w:val="00036D27"/>
    <w:rsid w:val="00044949"/>
    <w:rsid w:val="00053B6A"/>
    <w:rsid w:val="00056D9D"/>
    <w:rsid w:val="00061ACA"/>
    <w:rsid w:val="00065B5F"/>
    <w:rsid w:val="00066871"/>
    <w:rsid w:val="00070EC7"/>
    <w:rsid w:val="000863FB"/>
    <w:rsid w:val="00086F34"/>
    <w:rsid w:val="00095677"/>
    <w:rsid w:val="000C7102"/>
    <w:rsid w:val="000D01C2"/>
    <w:rsid w:val="000E09D9"/>
    <w:rsid w:val="000E21C9"/>
    <w:rsid w:val="000F7B1E"/>
    <w:rsid w:val="00100AD0"/>
    <w:rsid w:val="001010FC"/>
    <w:rsid w:val="00150F4B"/>
    <w:rsid w:val="00151A7A"/>
    <w:rsid w:val="0015526F"/>
    <w:rsid w:val="00164022"/>
    <w:rsid w:val="001656EE"/>
    <w:rsid w:val="001729EC"/>
    <w:rsid w:val="00173316"/>
    <w:rsid w:val="0017679D"/>
    <w:rsid w:val="00184E83"/>
    <w:rsid w:val="0019073B"/>
    <w:rsid w:val="001966E8"/>
    <w:rsid w:val="001C0954"/>
    <w:rsid w:val="001C297F"/>
    <w:rsid w:val="001C7C42"/>
    <w:rsid w:val="001D1240"/>
    <w:rsid w:val="001D184E"/>
    <w:rsid w:val="001D32CB"/>
    <w:rsid w:val="001E3BA8"/>
    <w:rsid w:val="001E5B96"/>
    <w:rsid w:val="001F02F1"/>
    <w:rsid w:val="001F4D3E"/>
    <w:rsid w:val="002051D4"/>
    <w:rsid w:val="00217C53"/>
    <w:rsid w:val="0023112C"/>
    <w:rsid w:val="00231477"/>
    <w:rsid w:val="00232636"/>
    <w:rsid w:val="00241B02"/>
    <w:rsid w:val="00241C01"/>
    <w:rsid w:val="00242F8C"/>
    <w:rsid w:val="0024482A"/>
    <w:rsid w:val="002529EB"/>
    <w:rsid w:val="00255353"/>
    <w:rsid w:val="00262E09"/>
    <w:rsid w:val="00263C8E"/>
    <w:rsid w:val="0027143B"/>
    <w:rsid w:val="002729BC"/>
    <w:rsid w:val="00272ABE"/>
    <w:rsid w:val="00273417"/>
    <w:rsid w:val="00285744"/>
    <w:rsid w:val="002A0939"/>
    <w:rsid w:val="002A4AE4"/>
    <w:rsid w:val="002A73A7"/>
    <w:rsid w:val="002B3D35"/>
    <w:rsid w:val="002C1378"/>
    <w:rsid w:val="002C7D27"/>
    <w:rsid w:val="002D0089"/>
    <w:rsid w:val="002D3D0A"/>
    <w:rsid w:val="002E3104"/>
    <w:rsid w:val="002F19BE"/>
    <w:rsid w:val="002F210C"/>
    <w:rsid w:val="00310149"/>
    <w:rsid w:val="003174C0"/>
    <w:rsid w:val="00320646"/>
    <w:rsid w:val="00344D2C"/>
    <w:rsid w:val="0035487C"/>
    <w:rsid w:val="00370E0C"/>
    <w:rsid w:val="0037733B"/>
    <w:rsid w:val="00380A91"/>
    <w:rsid w:val="003816F4"/>
    <w:rsid w:val="00385DF2"/>
    <w:rsid w:val="003860DC"/>
    <w:rsid w:val="00387201"/>
    <w:rsid w:val="00393578"/>
    <w:rsid w:val="003A47A9"/>
    <w:rsid w:val="003A4FD6"/>
    <w:rsid w:val="003A63BF"/>
    <w:rsid w:val="003B3B12"/>
    <w:rsid w:val="003B5332"/>
    <w:rsid w:val="003E7D99"/>
    <w:rsid w:val="00401BAB"/>
    <w:rsid w:val="00401E7F"/>
    <w:rsid w:val="00420063"/>
    <w:rsid w:val="00433BD8"/>
    <w:rsid w:val="004344A2"/>
    <w:rsid w:val="0043451F"/>
    <w:rsid w:val="00444556"/>
    <w:rsid w:val="004527D7"/>
    <w:rsid w:val="00452C70"/>
    <w:rsid w:val="004575F3"/>
    <w:rsid w:val="00460491"/>
    <w:rsid w:val="004623A5"/>
    <w:rsid w:val="00471284"/>
    <w:rsid w:val="00471A1E"/>
    <w:rsid w:val="00477CEB"/>
    <w:rsid w:val="00481442"/>
    <w:rsid w:val="00482399"/>
    <w:rsid w:val="00493415"/>
    <w:rsid w:val="00495EBB"/>
    <w:rsid w:val="004A790E"/>
    <w:rsid w:val="004B14B0"/>
    <w:rsid w:val="004B4973"/>
    <w:rsid w:val="004C6A75"/>
    <w:rsid w:val="004D2DF9"/>
    <w:rsid w:val="004E0E88"/>
    <w:rsid w:val="00501996"/>
    <w:rsid w:val="00502FB6"/>
    <w:rsid w:val="00503595"/>
    <w:rsid w:val="00506273"/>
    <w:rsid w:val="005173AE"/>
    <w:rsid w:val="00533501"/>
    <w:rsid w:val="00545C2B"/>
    <w:rsid w:val="00557557"/>
    <w:rsid w:val="005618C1"/>
    <w:rsid w:val="0056482A"/>
    <w:rsid w:val="00574892"/>
    <w:rsid w:val="00574F6D"/>
    <w:rsid w:val="00576CD9"/>
    <w:rsid w:val="005771DB"/>
    <w:rsid w:val="00591216"/>
    <w:rsid w:val="005A65CE"/>
    <w:rsid w:val="005B0A2C"/>
    <w:rsid w:val="005B318A"/>
    <w:rsid w:val="005B5D71"/>
    <w:rsid w:val="005B5FBC"/>
    <w:rsid w:val="005C7941"/>
    <w:rsid w:val="005D7377"/>
    <w:rsid w:val="005E2FBF"/>
    <w:rsid w:val="005E3AC8"/>
    <w:rsid w:val="005E4A77"/>
    <w:rsid w:val="005E5E8B"/>
    <w:rsid w:val="005F3605"/>
    <w:rsid w:val="0060772C"/>
    <w:rsid w:val="0061238D"/>
    <w:rsid w:val="00613936"/>
    <w:rsid w:val="0061588E"/>
    <w:rsid w:val="006162E5"/>
    <w:rsid w:val="006173C8"/>
    <w:rsid w:val="0062478E"/>
    <w:rsid w:val="00634B50"/>
    <w:rsid w:val="00646C55"/>
    <w:rsid w:val="00650C6B"/>
    <w:rsid w:val="006510CB"/>
    <w:rsid w:val="00656193"/>
    <w:rsid w:val="006678BB"/>
    <w:rsid w:val="0067087A"/>
    <w:rsid w:val="00671B57"/>
    <w:rsid w:val="006901A7"/>
    <w:rsid w:val="00690352"/>
    <w:rsid w:val="0069037E"/>
    <w:rsid w:val="006A0D75"/>
    <w:rsid w:val="006A331E"/>
    <w:rsid w:val="006A4803"/>
    <w:rsid w:val="006A56B4"/>
    <w:rsid w:val="006B0249"/>
    <w:rsid w:val="006B2FF0"/>
    <w:rsid w:val="006C6B94"/>
    <w:rsid w:val="006C7285"/>
    <w:rsid w:val="006D2F74"/>
    <w:rsid w:val="006D4BA9"/>
    <w:rsid w:val="006E2309"/>
    <w:rsid w:val="006E7E1D"/>
    <w:rsid w:val="00702FA2"/>
    <w:rsid w:val="007152B2"/>
    <w:rsid w:val="00721A5E"/>
    <w:rsid w:val="007333AB"/>
    <w:rsid w:val="00740FE4"/>
    <w:rsid w:val="00741573"/>
    <w:rsid w:val="00744977"/>
    <w:rsid w:val="00746137"/>
    <w:rsid w:val="00755477"/>
    <w:rsid w:val="00755B98"/>
    <w:rsid w:val="00755FFC"/>
    <w:rsid w:val="007837E1"/>
    <w:rsid w:val="007850C4"/>
    <w:rsid w:val="00795164"/>
    <w:rsid w:val="007A710A"/>
    <w:rsid w:val="007B353F"/>
    <w:rsid w:val="007B3ABE"/>
    <w:rsid w:val="007D1026"/>
    <w:rsid w:val="007E4D7A"/>
    <w:rsid w:val="007E6A3A"/>
    <w:rsid w:val="007E7052"/>
    <w:rsid w:val="007F3C51"/>
    <w:rsid w:val="007F4F1D"/>
    <w:rsid w:val="00801DC3"/>
    <w:rsid w:val="0080311E"/>
    <w:rsid w:val="00806A3F"/>
    <w:rsid w:val="0081700E"/>
    <w:rsid w:val="008174BE"/>
    <w:rsid w:val="00831395"/>
    <w:rsid w:val="00833A56"/>
    <w:rsid w:val="00837403"/>
    <w:rsid w:val="00860BCB"/>
    <w:rsid w:val="00863212"/>
    <w:rsid w:val="0086527E"/>
    <w:rsid w:val="00882998"/>
    <w:rsid w:val="0088488F"/>
    <w:rsid w:val="00892915"/>
    <w:rsid w:val="008932F2"/>
    <w:rsid w:val="008975F3"/>
    <w:rsid w:val="008B1F05"/>
    <w:rsid w:val="008C15BD"/>
    <w:rsid w:val="008D4D7E"/>
    <w:rsid w:val="008E55D9"/>
    <w:rsid w:val="008F2D8E"/>
    <w:rsid w:val="008F4138"/>
    <w:rsid w:val="00901A8F"/>
    <w:rsid w:val="0090451E"/>
    <w:rsid w:val="009112E6"/>
    <w:rsid w:val="00915132"/>
    <w:rsid w:val="0091777A"/>
    <w:rsid w:val="00937A84"/>
    <w:rsid w:val="009447A9"/>
    <w:rsid w:val="009449D6"/>
    <w:rsid w:val="00953DA3"/>
    <w:rsid w:val="00965ACC"/>
    <w:rsid w:val="00967F76"/>
    <w:rsid w:val="00975B8F"/>
    <w:rsid w:val="0098045C"/>
    <w:rsid w:val="00980494"/>
    <w:rsid w:val="00987D1D"/>
    <w:rsid w:val="00990E80"/>
    <w:rsid w:val="00997CC8"/>
    <w:rsid w:val="009A2707"/>
    <w:rsid w:val="009A4731"/>
    <w:rsid w:val="009A76DC"/>
    <w:rsid w:val="009B123E"/>
    <w:rsid w:val="009B5974"/>
    <w:rsid w:val="009E23F8"/>
    <w:rsid w:val="009F1B91"/>
    <w:rsid w:val="009F6356"/>
    <w:rsid w:val="00A00D15"/>
    <w:rsid w:val="00A14FB9"/>
    <w:rsid w:val="00A15A0E"/>
    <w:rsid w:val="00A22E4D"/>
    <w:rsid w:val="00A30791"/>
    <w:rsid w:val="00A41CDA"/>
    <w:rsid w:val="00A46E8B"/>
    <w:rsid w:val="00A52FD8"/>
    <w:rsid w:val="00A564BE"/>
    <w:rsid w:val="00A66A9D"/>
    <w:rsid w:val="00A726DC"/>
    <w:rsid w:val="00A83D31"/>
    <w:rsid w:val="00A92585"/>
    <w:rsid w:val="00A957CA"/>
    <w:rsid w:val="00AA0268"/>
    <w:rsid w:val="00AA16B6"/>
    <w:rsid w:val="00AB72F3"/>
    <w:rsid w:val="00AB78B6"/>
    <w:rsid w:val="00AE7624"/>
    <w:rsid w:val="00AF6F2D"/>
    <w:rsid w:val="00B0077A"/>
    <w:rsid w:val="00B015BD"/>
    <w:rsid w:val="00B0512F"/>
    <w:rsid w:val="00B060EF"/>
    <w:rsid w:val="00B27E5D"/>
    <w:rsid w:val="00B4626D"/>
    <w:rsid w:val="00B52B30"/>
    <w:rsid w:val="00B57213"/>
    <w:rsid w:val="00B612E1"/>
    <w:rsid w:val="00B702E6"/>
    <w:rsid w:val="00B75158"/>
    <w:rsid w:val="00B848AB"/>
    <w:rsid w:val="00B909DF"/>
    <w:rsid w:val="00B919CE"/>
    <w:rsid w:val="00BA2601"/>
    <w:rsid w:val="00BA2B16"/>
    <w:rsid w:val="00BA6778"/>
    <w:rsid w:val="00BA6A0C"/>
    <w:rsid w:val="00BA758C"/>
    <w:rsid w:val="00BB7EE8"/>
    <w:rsid w:val="00BC27E6"/>
    <w:rsid w:val="00BC4E99"/>
    <w:rsid w:val="00BC6109"/>
    <w:rsid w:val="00BD035A"/>
    <w:rsid w:val="00BD31C7"/>
    <w:rsid w:val="00BE5093"/>
    <w:rsid w:val="00BF1FED"/>
    <w:rsid w:val="00BF2348"/>
    <w:rsid w:val="00BF2769"/>
    <w:rsid w:val="00BF7113"/>
    <w:rsid w:val="00C01D63"/>
    <w:rsid w:val="00C06BEA"/>
    <w:rsid w:val="00C201C2"/>
    <w:rsid w:val="00C239C6"/>
    <w:rsid w:val="00C564DE"/>
    <w:rsid w:val="00C66EC8"/>
    <w:rsid w:val="00C70D77"/>
    <w:rsid w:val="00C755F3"/>
    <w:rsid w:val="00C7565C"/>
    <w:rsid w:val="00C80512"/>
    <w:rsid w:val="00CA49A7"/>
    <w:rsid w:val="00CA5C01"/>
    <w:rsid w:val="00CB4D8D"/>
    <w:rsid w:val="00CB6A3B"/>
    <w:rsid w:val="00CB721E"/>
    <w:rsid w:val="00CB7AD5"/>
    <w:rsid w:val="00CC1ADC"/>
    <w:rsid w:val="00CD6C84"/>
    <w:rsid w:val="00CD729E"/>
    <w:rsid w:val="00CE4A78"/>
    <w:rsid w:val="00CE4B39"/>
    <w:rsid w:val="00CF5D1F"/>
    <w:rsid w:val="00CF76F2"/>
    <w:rsid w:val="00D133C0"/>
    <w:rsid w:val="00D149D4"/>
    <w:rsid w:val="00D24CF6"/>
    <w:rsid w:val="00D2640A"/>
    <w:rsid w:val="00D26703"/>
    <w:rsid w:val="00D33E71"/>
    <w:rsid w:val="00D35EB1"/>
    <w:rsid w:val="00D413FD"/>
    <w:rsid w:val="00D41447"/>
    <w:rsid w:val="00D45729"/>
    <w:rsid w:val="00D557E3"/>
    <w:rsid w:val="00D60650"/>
    <w:rsid w:val="00D6315F"/>
    <w:rsid w:val="00D63533"/>
    <w:rsid w:val="00D816DF"/>
    <w:rsid w:val="00D81BF6"/>
    <w:rsid w:val="00D82BF0"/>
    <w:rsid w:val="00D9434F"/>
    <w:rsid w:val="00D97CE7"/>
    <w:rsid w:val="00DA4C0F"/>
    <w:rsid w:val="00DB15CE"/>
    <w:rsid w:val="00DB1A90"/>
    <w:rsid w:val="00DB3056"/>
    <w:rsid w:val="00DC73B9"/>
    <w:rsid w:val="00DD0E76"/>
    <w:rsid w:val="00DD3BA8"/>
    <w:rsid w:val="00DD3D4C"/>
    <w:rsid w:val="00DD61E1"/>
    <w:rsid w:val="00DD6EDF"/>
    <w:rsid w:val="00DE1F83"/>
    <w:rsid w:val="00DE35B0"/>
    <w:rsid w:val="00DF79F1"/>
    <w:rsid w:val="00DF7ABA"/>
    <w:rsid w:val="00E0174D"/>
    <w:rsid w:val="00E16324"/>
    <w:rsid w:val="00E16E5D"/>
    <w:rsid w:val="00E20B76"/>
    <w:rsid w:val="00E21BCA"/>
    <w:rsid w:val="00E23388"/>
    <w:rsid w:val="00E24BCA"/>
    <w:rsid w:val="00E3480A"/>
    <w:rsid w:val="00E3734F"/>
    <w:rsid w:val="00E71FC1"/>
    <w:rsid w:val="00E749BD"/>
    <w:rsid w:val="00E778C7"/>
    <w:rsid w:val="00E83D14"/>
    <w:rsid w:val="00EA0470"/>
    <w:rsid w:val="00EA2797"/>
    <w:rsid w:val="00EA6081"/>
    <w:rsid w:val="00EA7363"/>
    <w:rsid w:val="00EB2681"/>
    <w:rsid w:val="00EC7AE9"/>
    <w:rsid w:val="00ED0792"/>
    <w:rsid w:val="00F11CE4"/>
    <w:rsid w:val="00F12CE3"/>
    <w:rsid w:val="00F325E0"/>
    <w:rsid w:val="00F369EF"/>
    <w:rsid w:val="00F50956"/>
    <w:rsid w:val="00F5244B"/>
    <w:rsid w:val="00F56BF8"/>
    <w:rsid w:val="00F664E5"/>
    <w:rsid w:val="00F66520"/>
    <w:rsid w:val="00F70732"/>
    <w:rsid w:val="00F7331A"/>
    <w:rsid w:val="00F87704"/>
    <w:rsid w:val="00F87D5C"/>
    <w:rsid w:val="00F87D67"/>
    <w:rsid w:val="00F9233E"/>
    <w:rsid w:val="00F92D20"/>
    <w:rsid w:val="00F92D80"/>
    <w:rsid w:val="00F9684D"/>
    <w:rsid w:val="00F97A48"/>
    <w:rsid w:val="00FA640C"/>
    <w:rsid w:val="00FB0E5E"/>
    <w:rsid w:val="00FB2B8C"/>
    <w:rsid w:val="00FB51A4"/>
    <w:rsid w:val="00FC6B48"/>
    <w:rsid w:val="00FD06FC"/>
    <w:rsid w:val="00FD07FA"/>
    <w:rsid w:val="00FE0A7F"/>
    <w:rsid w:val="00FF67F8"/>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A5914"/>
  <w15:docId w15:val="{CD755587-49C5-4DE5-9BA0-B9CC264D6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721B0"/>
    <w:pPr>
      <w:spacing w:line="480" w:lineRule="auto"/>
      <w:jc w:val="both"/>
    </w:pPr>
    <w:rPr>
      <w:rFonts w:ascii="Times New Roman" w:hAnsi="Times New Roman"/>
    </w:rPr>
  </w:style>
  <w:style w:type="paragraph" w:styleId="Heading1">
    <w:name w:val="heading 1"/>
    <w:basedOn w:val="texto"/>
    <w:link w:val="Heading1Char"/>
    <w:uiPriority w:val="9"/>
    <w:qFormat/>
    <w:rsid w:val="00E47A16"/>
    <w:pPr>
      <w:ind w:firstLine="0"/>
      <w:jc w:val="center"/>
      <w:outlineLvl w:val="0"/>
    </w:pPr>
    <w:rPr>
      <w:b/>
    </w:rPr>
  </w:style>
  <w:style w:type="paragraph" w:styleId="Heading2">
    <w:name w:val="heading 2"/>
    <w:basedOn w:val="Heading1"/>
    <w:next w:val="Normal"/>
    <w:link w:val="Heading2Char"/>
    <w:uiPriority w:val="9"/>
    <w:unhideWhenUsed/>
    <w:qFormat/>
    <w:rsid w:val="00D73861"/>
    <w:pPr>
      <w:jc w:val="left"/>
      <w:outlineLvl w:val="1"/>
    </w:pPr>
  </w:style>
  <w:style w:type="paragraph" w:styleId="Heading3">
    <w:name w:val="heading 3"/>
    <w:basedOn w:val="Normal"/>
    <w:next w:val="Normal"/>
    <w:link w:val="Heading3Char"/>
    <w:uiPriority w:val="9"/>
    <w:semiHidden/>
    <w:unhideWhenUsed/>
    <w:qFormat/>
    <w:rsid w:val="00247320"/>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Texte de note de bas de page"/>
    <w:basedOn w:val="Normal"/>
    <w:link w:val="FootnoteTextChar"/>
    <w:uiPriority w:val="99"/>
    <w:rsid w:val="006C4153"/>
    <w:pPr>
      <w:spacing w:line="360" w:lineRule="auto"/>
      <w:ind w:firstLine="680"/>
    </w:pPr>
    <w:rPr>
      <w:rFonts w:eastAsia="Times New Roman"/>
    </w:rPr>
  </w:style>
  <w:style w:type="character" w:customStyle="1" w:styleId="FootnoteTextChar">
    <w:name w:val="Footnote Text Char"/>
    <w:aliases w:val="Texte de note de bas de page Char"/>
    <w:basedOn w:val="DefaultParagraphFont"/>
    <w:link w:val="FootnoteText"/>
    <w:uiPriority w:val="99"/>
    <w:rsid w:val="006C4153"/>
    <w:rPr>
      <w:rFonts w:eastAsia="Times New Roman"/>
    </w:rPr>
  </w:style>
  <w:style w:type="paragraph" w:styleId="NormalWeb">
    <w:name w:val="Normal (Web)"/>
    <w:basedOn w:val="Normal"/>
    <w:uiPriority w:val="99"/>
    <w:semiHidden/>
    <w:unhideWhenUsed/>
    <w:rsid w:val="005721B0"/>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5721B0"/>
  </w:style>
  <w:style w:type="character" w:styleId="Strong">
    <w:name w:val="Strong"/>
    <w:basedOn w:val="DefaultParagraphFont"/>
    <w:uiPriority w:val="22"/>
    <w:qFormat/>
    <w:rsid w:val="005721B0"/>
    <w:rPr>
      <w:b/>
      <w:bCs/>
    </w:rPr>
  </w:style>
  <w:style w:type="paragraph" w:styleId="Header">
    <w:name w:val="header"/>
    <w:basedOn w:val="Normal"/>
    <w:link w:val="HeaderChar"/>
    <w:uiPriority w:val="99"/>
    <w:unhideWhenUsed/>
    <w:rsid w:val="00F35FC3"/>
    <w:pPr>
      <w:tabs>
        <w:tab w:val="center" w:pos="4320"/>
        <w:tab w:val="right" w:pos="8640"/>
      </w:tabs>
      <w:spacing w:line="240" w:lineRule="auto"/>
    </w:pPr>
  </w:style>
  <w:style w:type="character" w:customStyle="1" w:styleId="HeaderChar">
    <w:name w:val="Header Char"/>
    <w:basedOn w:val="DefaultParagraphFont"/>
    <w:link w:val="Header"/>
    <w:uiPriority w:val="99"/>
    <w:rsid w:val="00F35FC3"/>
    <w:rPr>
      <w:rFonts w:ascii="Times New Roman" w:hAnsi="Times New Roman"/>
    </w:rPr>
  </w:style>
  <w:style w:type="paragraph" w:styleId="Footer">
    <w:name w:val="footer"/>
    <w:basedOn w:val="Normal"/>
    <w:link w:val="FooterChar"/>
    <w:uiPriority w:val="99"/>
    <w:unhideWhenUsed/>
    <w:rsid w:val="00F35FC3"/>
    <w:pPr>
      <w:tabs>
        <w:tab w:val="center" w:pos="4320"/>
        <w:tab w:val="right" w:pos="8640"/>
      </w:tabs>
      <w:spacing w:line="240" w:lineRule="auto"/>
    </w:pPr>
  </w:style>
  <w:style w:type="character" w:customStyle="1" w:styleId="FooterChar">
    <w:name w:val="Footer Char"/>
    <w:basedOn w:val="DefaultParagraphFont"/>
    <w:link w:val="Footer"/>
    <w:uiPriority w:val="99"/>
    <w:rsid w:val="00F35FC3"/>
    <w:rPr>
      <w:rFonts w:ascii="Times New Roman" w:hAnsi="Times New Roman"/>
    </w:rPr>
  </w:style>
  <w:style w:type="character" w:styleId="PageNumber">
    <w:name w:val="page number"/>
    <w:basedOn w:val="DefaultParagraphFont"/>
    <w:uiPriority w:val="99"/>
    <w:semiHidden/>
    <w:unhideWhenUsed/>
    <w:rsid w:val="00F35FC3"/>
  </w:style>
  <w:style w:type="paragraph" w:customStyle="1" w:styleId="texto">
    <w:name w:val="texto"/>
    <w:basedOn w:val="Normal"/>
    <w:link w:val="textoChar"/>
    <w:qFormat/>
    <w:rsid w:val="009B27EB"/>
    <w:pPr>
      <w:ind w:firstLine="720"/>
    </w:pPr>
    <w:rPr>
      <w:lang w:val="en-US"/>
    </w:rPr>
  </w:style>
  <w:style w:type="character" w:customStyle="1" w:styleId="Heading1Char">
    <w:name w:val="Heading 1 Char"/>
    <w:basedOn w:val="DefaultParagraphFont"/>
    <w:link w:val="Heading1"/>
    <w:uiPriority w:val="9"/>
    <w:rsid w:val="00E47A16"/>
    <w:rPr>
      <w:rFonts w:ascii="Times New Roman" w:hAnsi="Times New Roman"/>
      <w:b/>
      <w:lang w:val="en-US"/>
    </w:rPr>
  </w:style>
  <w:style w:type="character" w:customStyle="1" w:styleId="maintitle">
    <w:name w:val="maintitle"/>
    <w:basedOn w:val="DefaultParagraphFont"/>
    <w:rsid w:val="00EA1B38"/>
  </w:style>
  <w:style w:type="paragraph" w:customStyle="1" w:styleId="copyright">
    <w:name w:val="copyright"/>
    <w:basedOn w:val="Normal"/>
    <w:rsid w:val="00EA1B38"/>
    <w:pPr>
      <w:spacing w:before="100" w:beforeAutospacing="1" w:after="100" w:afterAutospacing="1" w:line="240" w:lineRule="auto"/>
      <w:jc w:val="left"/>
    </w:pPr>
    <w:rPr>
      <w:rFonts w:ascii="Times" w:hAnsi="Times"/>
      <w:sz w:val="20"/>
      <w:szCs w:val="20"/>
    </w:rPr>
  </w:style>
  <w:style w:type="character" w:customStyle="1" w:styleId="Heading2Char">
    <w:name w:val="Heading 2 Char"/>
    <w:basedOn w:val="DefaultParagraphFont"/>
    <w:link w:val="Heading2"/>
    <w:uiPriority w:val="9"/>
    <w:rsid w:val="00D73861"/>
    <w:rPr>
      <w:rFonts w:ascii="Times New Roman" w:hAnsi="Times New Roman"/>
      <w:b/>
      <w:lang w:val="en-US"/>
    </w:rPr>
  </w:style>
  <w:style w:type="character" w:styleId="Hyperlink">
    <w:name w:val="Hyperlink"/>
    <w:basedOn w:val="DefaultParagraphFont"/>
    <w:uiPriority w:val="99"/>
    <w:unhideWhenUsed/>
    <w:rsid w:val="00792111"/>
    <w:rPr>
      <w:color w:val="0000FF"/>
      <w:u w:val="single"/>
    </w:rPr>
  </w:style>
  <w:style w:type="character" w:customStyle="1" w:styleId="toctoggle">
    <w:name w:val="toctoggle"/>
    <w:basedOn w:val="DefaultParagraphFont"/>
    <w:rsid w:val="00792111"/>
  </w:style>
  <w:style w:type="paragraph" w:styleId="BalloonText">
    <w:name w:val="Balloon Text"/>
    <w:basedOn w:val="Normal"/>
    <w:link w:val="BalloonTextChar"/>
    <w:uiPriority w:val="99"/>
    <w:semiHidden/>
    <w:unhideWhenUsed/>
    <w:rsid w:val="00921546"/>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1546"/>
    <w:rPr>
      <w:rFonts w:ascii="Lucida Grande" w:hAnsi="Lucida Grande" w:cs="Lucida Grande"/>
      <w:sz w:val="18"/>
      <w:szCs w:val="18"/>
    </w:rPr>
  </w:style>
  <w:style w:type="character" w:styleId="CommentReference">
    <w:name w:val="annotation reference"/>
    <w:basedOn w:val="DefaultParagraphFont"/>
    <w:uiPriority w:val="99"/>
    <w:semiHidden/>
    <w:unhideWhenUsed/>
    <w:rsid w:val="003A51DB"/>
    <w:rPr>
      <w:sz w:val="18"/>
      <w:szCs w:val="18"/>
    </w:rPr>
  </w:style>
  <w:style w:type="paragraph" w:styleId="CommentText">
    <w:name w:val="annotation text"/>
    <w:basedOn w:val="Normal"/>
    <w:link w:val="CommentTextChar"/>
    <w:uiPriority w:val="99"/>
    <w:semiHidden/>
    <w:unhideWhenUsed/>
    <w:rsid w:val="003A51DB"/>
    <w:pPr>
      <w:spacing w:line="240" w:lineRule="auto"/>
    </w:pPr>
  </w:style>
  <w:style w:type="character" w:customStyle="1" w:styleId="CommentTextChar">
    <w:name w:val="Comment Text Char"/>
    <w:basedOn w:val="DefaultParagraphFont"/>
    <w:link w:val="CommentText"/>
    <w:uiPriority w:val="99"/>
    <w:semiHidden/>
    <w:rsid w:val="003A51DB"/>
    <w:rPr>
      <w:rFonts w:ascii="Times New Roman" w:hAnsi="Times New Roman"/>
    </w:rPr>
  </w:style>
  <w:style w:type="paragraph" w:styleId="CommentSubject">
    <w:name w:val="annotation subject"/>
    <w:basedOn w:val="CommentText"/>
    <w:next w:val="CommentText"/>
    <w:link w:val="CommentSubjectChar"/>
    <w:uiPriority w:val="99"/>
    <w:semiHidden/>
    <w:unhideWhenUsed/>
    <w:rsid w:val="003A51DB"/>
    <w:rPr>
      <w:b/>
      <w:bCs/>
      <w:sz w:val="20"/>
      <w:szCs w:val="20"/>
    </w:rPr>
  </w:style>
  <w:style w:type="character" w:customStyle="1" w:styleId="CommentSubjectChar">
    <w:name w:val="Comment Subject Char"/>
    <w:basedOn w:val="CommentTextChar"/>
    <w:link w:val="CommentSubject"/>
    <w:uiPriority w:val="99"/>
    <w:semiHidden/>
    <w:rsid w:val="003A51DB"/>
    <w:rPr>
      <w:rFonts w:ascii="Times New Roman" w:hAnsi="Times New Roman"/>
      <w:b/>
      <w:bCs/>
      <w:sz w:val="20"/>
      <w:szCs w:val="20"/>
    </w:rPr>
  </w:style>
  <w:style w:type="table" w:styleId="TableGrid">
    <w:name w:val="Table Grid"/>
    <w:basedOn w:val="TableNormal"/>
    <w:uiPriority w:val="59"/>
    <w:rsid w:val="00361E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tion">
    <w:name w:val="citation"/>
    <w:basedOn w:val="texto"/>
    <w:link w:val="citationChar"/>
    <w:qFormat/>
    <w:rsid w:val="00DD0E76"/>
    <w:pPr>
      <w:spacing w:line="240" w:lineRule="auto"/>
      <w:ind w:left="810" w:hanging="810"/>
    </w:pPr>
  </w:style>
  <w:style w:type="character" w:styleId="Emphasis">
    <w:name w:val="Emphasis"/>
    <w:basedOn w:val="DefaultParagraphFont"/>
    <w:uiPriority w:val="20"/>
    <w:qFormat/>
    <w:rsid w:val="007C26DC"/>
    <w:rPr>
      <w:i/>
      <w:iCs/>
    </w:rPr>
  </w:style>
  <w:style w:type="character" w:customStyle="1" w:styleId="textoChar">
    <w:name w:val="texto Char"/>
    <w:basedOn w:val="DefaultParagraphFont"/>
    <w:link w:val="texto"/>
    <w:rsid w:val="00551E02"/>
    <w:rPr>
      <w:rFonts w:ascii="Times New Roman" w:hAnsi="Times New Roman"/>
      <w:lang w:val="en-US"/>
    </w:rPr>
  </w:style>
  <w:style w:type="character" w:customStyle="1" w:styleId="citationChar">
    <w:name w:val="citation Char"/>
    <w:basedOn w:val="textoChar"/>
    <w:link w:val="citation"/>
    <w:rsid w:val="00DD0E76"/>
    <w:rPr>
      <w:rFonts w:ascii="Times New Roman" w:hAnsi="Times New Roman"/>
      <w:lang w:val="en-US"/>
    </w:rPr>
  </w:style>
  <w:style w:type="character" w:customStyle="1" w:styleId="citeddoctitle">
    <w:name w:val="citeddoctitle"/>
    <w:basedOn w:val="DefaultParagraphFont"/>
    <w:rsid w:val="00F331F3"/>
  </w:style>
  <w:style w:type="character" w:customStyle="1" w:styleId="citedauthor">
    <w:name w:val="citedauthor"/>
    <w:basedOn w:val="DefaultParagraphFont"/>
    <w:rsid w:val="00F331F3"/>
  </w:style>
  <w:style w:type="character" w:customStyle="1" w:styleId="citedjrnltitle">
    <w:name w:val="citedjrnltitle"/>
    <w:basedOn w:val="DefaultParagraphFont"/>
    <w:rsid w:val="00F331F3"/>
  </w:style>
  <w:style w:type="paragraph" w:customStyle="1" w:styleId="Default">
    <w:name w:val="Default"/>
    <w:rsid w:val="001C484D"/>
    <w:pPr>
      <w:autoSpaceDE w:val="0"/>
      <w:autoSpaceDN w:val="0"/>
      <w:adjustRightInd w:val="0"/>
    </w:pPr>
    <w:rPr>
      <w:rFonts w:ascii="Futura" w:hAnsi="Futura" w:cs="Futura"/>
      <w:color w:val="000000"/>
      <w:lang w:val="en-US"/>
    </w:rPr>
  </w:style>
  <w:style w:type="paragraph" w:customStyle="1" w:styleId="Pa2">
    <w:name w:val="Pa2"/>
    <w:basedOn w:val="Default"/>
    <w:next w:val="Default"/>
    <w:uiPriority w:val="99"/>
    <w:rsid w:val="001C484D"/>
    <w:pPr>
      <w:spacing w:line="241" w:lineRule="atLeast"/>
    </w:pPr>
    <w:rPr>
      <w:rFonts w:cstheme="minorBidi"/>
      <w:color w:val="auto"/>
    </w:rPr>
  </w:style>
  <w:style w:type="paragraph" w:customStyle="1" w:styleId="Pa6">
    <w:name w:val="Pa6"/>
    <w:basedOn w:val="Default"/>
    <w:next w:val="Default"/>
    <w:uiPriority w:val="99"/>
    <w:rsid w:val="001C484D"/>
    <w:pPr>
      <w:spacing w:line="241" w:lineRule="atLeast"/>
    </w:pPr>
    <w:rPr>
      <w:rFonts w:cstheme="minorBidi"/>
      <w:color w:val="auto"/>
    </w:rPr>
  </w:style>
  <w:style w:type="character" w:customStyle="1" w:styleId="A2">
    <w:name w:val="A2"/>
    <w:uiPriority w:val="99"/>
    <w:rsid w:val="001C484D"/>
    <w:rPr>
      <w:rFonts w:cs="BDTAPO+EideticModern-Regular"/>
      <w:color w:val="000000"/>
      <w:sz w:val="22"/>
      <w:szCs w:val="22"/>
    </w:rPr>
  </w:style>
  <w:style w:type="character" w:customStyle="1" w:styleId="A7">
    <w:name w:val="A7"/>
    <w:uiPriority w:val="99"/>
    <w:rsid w:val="00F7632A"/>
    <w:rPr>
      <w:rFonts w:cs="BDTAPO+EideticModern-Regular"/>
      <w:color w:val="000000"/>
      <w:sz w:val="12"/>
      <w:szCs w:val="12"/>
    </w:rPr>
  </w:style>
  <w:style w:type="character" w:styleId="FollowedHyperlink">
    <w:name w:val="FollowedHyperlink"/>
    <w:basedOn w:val="DefaultParagraphFont"/>
    <w:uiPriority w:val="99"/>
    <w:semiHidden/>
    <w:unhideWhenUsed/>
    <w:rsid w:val="005D1720"/>
    <w:rPr>
      <w:color w:val="800080" w:themeColor="followedHyperlink"/>
      <w:u w:val="single"/>
    </w:rPr>
  </w:style>
  <w:style w:type="paragraph" w:styleId="BodyText">
    <w:name w:val="Body Text"/>
    <w:basedOn w:val="Normal"/>
    <w:link w:val="BodyTextChar"/>
    <w:uiPriority w:val="1"/>
    <w:qFormat/>
    <w:rsid w:val="00A537EF"/>
    <w:pPr>
      <w:autoSpaceDE w:val="0"/>
      <w:autoSpaceDN w:val="0"/>
      <w:adjustRightInd w:val="0"/>
      <w:spacing w:before="279" w:line="240" w:lineRule="auto"/>
      <w:ind w:left="100"/>
      <w:jc w:val="left"/>
    </w:pPr>
    <w:rPr>
      <w:rFonts w:ascii="Arial" w:hAnsi="Arial" w:cs="Arial"/>
      <w:lang w:val="en-US"/>
    </w:rPr>
  </w:style>
  <w:style w:type="character" w:customStyle="1" w:styleId="BodyTextChar">
    <w:name w:val="Body Text Char"/>
    <w:basedOn w:val="DefaultParagraphFont"/>
    <w:link w:val="BodyText"/>
    <w:uiPriority w:val="1"/>
    <w:rsid w:val="00A537EF"/>
    <w:rPr>
      <w:rFonts w:ascii="Arial" w:hAnsi="Arial" w:cs="Arial"/>
      <w:lang w:val="en-US"/>
    </w:rPr>
  </w:style>
  <w:style w:type="paragraph" w:styleId="Caption">
    <w:name w:val="caption"/>
    <w:basedOn w:val="Normal"/>
    <w:next w:val="Normal"/>
    <w:link w:val="CaptionChar"/>
    <w:uiPriority w:val="35"/>
    <w:unhideWhenUsed/>
    <w:qFormat/>
    <w:rsid w:val="00B57213"/>
    <w:pPr>
      <w:spacing w:line="240" w:lineRule="auto"/>
    </w:pPr>
    <w:rPr>
      <w:b/>
      <w:iCs/>
      <w:szCs w:val="18"/>
      <w:lang w:val="en-US"/>
    </w:rPr>
  </w:style>
  <w:style w:type="paragraph" w:customStyle="1" w:styleId="figure">
    <w:name w:val="figure"/>
    <w:basedOn w:val="texto"/>
    <w:link w:val="figureChar"/>
    <w:qFormat/>
    <w:rsid w:val="00C64535"/>
    <w:pPr>
      <w:spacing w:line="360" w:lineRule="auto"/>
      <w:ind w:firstLine="0"/>
    </w:pPr>
    <w:rPr>
      <w:noProof/>
    </w:rPr>
  </w:style>
  <w:style w:type="character" w:customStyle="1" w:styleId="figureChar">
    <w:name w:val="figure Char"/>
    <w:basedOn w:val="textoChar"/>
    <w:link w:val="figure"/>
    <w:rsid w:val="00C64535"/>
    <w:rPr>
      <w:rFonts w:ascii="Times New Roman" w:hAnsi="Times New Roman"/>
      <w:noProof/>
      <w:lang w:val="en-US"/>
    </w:rPr>
  </w:style>
  <w:style w:type="paragraph" w:styleId="ListParagraph">
    <w:name w:val="List Paragraph"/>
    <w:basedOn w:val="Normal"/>
    <w:uiPriority w:val="34"/>
    <w:qFormat/>
    <w:rsid w:val="00C94B22"/>
    <w:pPr>
      <w:autoSpaceDE w:val="0"/>
      <w:autoSpaceDN w:val="0"/>
      <w:adjustRightInd w:val="0"/>
      <w:spacing w:line="240" w:lineRule="auto"/>
      <w:jc w:val="left"/>
    </w:pPr>
    <w:rPr>
      <w:rFonts w:cs="Times New Roman"/>
      <w:lang w:val="en-US"/>
    </w:rPr>
  </w:style>
  <w:style w:type="character" w:customStyle="1" w:styleId="oneclick-link">
    <w:name w:val="oneclick-link"/>
    <w:basedOn w:val="DefaultParagraphFont"/>
    <w:rsid w:val="002770AB"/>
  </w:style>
  <w:style w:type="character" w:customStyle="1" w:styleId="Heading3Char">
    <w:name w:val="Heading 3 Char"/>
    <w:basedOn w:val="DefaultParagraphFont"/>
    <w:link w:val="Heading3"/>
    <w:uiPriority w:val="9"/>
    <w:semiHidden/>
    <w:rsid w:val="00247320"/>
    <w:rPr>
      <w:rFonts w:asciiTheme="majorHAnsi" w:eastAsiaTheme="majorEastAsia" w:hAnsiTheme="majorHAnsi" w:cstheme="majorBidi"/>
      <w:color w:val="243F60" w:themeColor="accent1" w:themeShade="7F"/>
    </w:rPr>
  </w:style>
  <w:style w:type="character" w:customStyle="1" w:styleId="subscript">
    <w:name w:val="subscript"/>
    <w:basedOn w:val="DefaultParagraphFont"/>
    <w:rsid w:val="00247320"/>
  </w:style>
  <w:style w:type="paragraph" w:customStyle="1" w:styleId="Source">
    <w:name w:val="Source"/>
    <w:basedOn w:val="texto"/>
    <w:link w:val="SourceChar"/>
    <w:qFormat/>
    <w:rsid w:val="008F6866"/>
    <w:pPr>
      <w:spacing w:after="240" w:line="240" w:lineRule="auto"/>
      <w:ind w:firstLine="0"/>
      <w:jc w:val="left"/>
    </w:pPr>
    <w:rPr>
      <w:sz w:val="20"/>
      <w:szCs w:val="20"/>
    </w:rPr>
  </w:style>
  <w:style w:type="character" w:customStyle="1" w:styleId="SourceChar">
    <w:name w:val="Source Char"/>
    <w:basedOn w:val="textoChar"/>
    <w:link w:val="Source"/>
    <w:rsid w:val="008F6866"/>
    <w:rPr>
      <w:rFonts w:ascii="Times New Roman" w:hAnsi="Times New Roman"/>
      <w:sz w:val="20"/>
      <w:szCs w:val="20"/>
      <w:lang w:val="en-US"/>
    </w:rPr>
  </w:style>
  <w:style w:type="paragraph" w:customStyle="1" w:styleId="picture">
    <w:name w:val="picture"/>
    <w:basedOn w:val="Normal"/>
    <w:link w:val="pictureChar"/>
    <w:qFormat/>
    <w:rsid w:val="008F6866"/>
    <w:pPr>
      <w:spacing w:line="240" w:lineRule="auto"/>
      <w:jc w:val="center"/>
    </w:pPr>
    <w:rPr>
      <w:rFonts w:eastAsiaTheme="minorHAnsi"/>
      <w:noProof/>
      <w:szCs w:val="22"/>
      <w:lang w:val="en-US"/>
    </w:rPr>
  </w:style>
  <w:style w:type="character" w:customStyle="1" w:styleId="pictureChar">
    <w:name w:val="picture Char"/>
    <w:basedOn w:val="DefaultParagraphFont"/>
    <w:link w:val="picture"/>
    <w:rsid w:val="008F6866"/>
    <w:rPr>
      <w:rFonts w:ascii="Times New Roman" w:eastAsiaTheme="minorHAnsi" w:hAnsi="Times New Roman"/>
      <w:noProof/>
      <w:szCs w:val="22"/>
      <w:lang w:val="en-US"/>
    </w:rPr>
  </w:style>
  <w:style w:type="character" w:customStyle="1" w:styleId="CaptionChar">
    <w:name w:val="Caption Char"/>
    <w:basedOn w:val="DefaultParagraphFont"/>
    <w:link w:val="Caption"/>
    <w:uiPriority w:val="35"/>
    <w:rsid w:val="00B57213"/>
    <w:rPr>
      <w:rFonts w:ascii="Times New Roman" w:hAnsi="Times New Roman"/>
      <w:b/>
      <w:iCs/>
      <w:szCs w:val="18"/>
      <w:lang w:val="en-US"/>
    </w:rPr>
  </w:style>
  <w:style w:type="paragraph" w:customStyle="1" w:styleId="EndNoteBibliographyTitle">
    <w:name w:val="EndNote Bibliography Title"/>
    <w:basedOn w:val="Normal"/>
    <w:link w:val="EndNoteBibliographyTitleChar"/>
    <w:rsid w:val="007045D2"/>
    <w:pPr>
      <w:jc w:val="center"/>
    </w:pPr>
    <w:rPr>
      <w:rFonts w:cs="Times New Roman"/>
      <w:noProof/>
      <w:lang w:val="en-US"/>
    </w:rPr>
  </w:style>
  <w:style w:type="character" w:customStyle="1" w:styleId="EndNoteBibliographyTitleChar">
    <w:name w:val="EndNote Bibliography Title Char"/>
    <w:basedOn w:val="textoChar"/>
    <w:link w:val="EndNoteBibliographyTitle"/>
    <w:rsid w:val="007045D2"/>
    <w:rPr>
      <w:rFonts w:ascii="Times New Roman" w:hAnsi="Times New Roman" w:cs="Times New Roman"/>
      <w:noProof/>
      <w:lang w:val="en-US"/>
    </w:rPr>
  </w:style>
  <w:style w:type="paragraph" w:customStyle="1" w:styleId="EndNoteBibliography">
    <w:name w:val="EndNote Bibliography"/>
    <w:basedOn w:val="Normal"/>
    <w:link w:val="EndNoteBibliographyChar"/>
    <w:rsid w:val="007045D2"/>
    <w:pPr>
      <w:spacing w:line="240" w:lineRule="auto"/>
    </w:pPr>
    <w:rPr>
      <w:rFonts w:cs="Times New Roman"/>
      <w:noProof/>
      <w:lang w:val="en-US"/>
    </w:rPr>
  </w:style>
  <w:style w:type="character" w:customStyle="1" w:styleId="EndNoteBibliographyChar">
    <w:name w:val="EndNote Bibliography Char"/>
    <w:basedOn w:val="textoChar"/>
    <w:link w:val="EndNoteBibliography"/>
    <w:rsid w:val="007045D2"/>
    <w:rPr>
      <w:rFonts w:ascii="Times New Roman" w:hAnsi="Times New Roman" w:cs="Times New Roman"/>
      <w:noProof/>
      <w:lang w:val="en-US"/>
    </w:rPr>
  </w:style>
  <w:style w:type="paragraph" w:styleId="NoSpacing">
    <w:name w:val="No Spacing"/>
    <w:uiPriority w:val="1"/>
    <w:qFormat/>
    <w:rsid w:val="00A83D31"/>
    <w:pPr>
      <w:jc w:val="both"/>
    </w:pPr>
    <w:rPr>
      <w:rFonts w:ascii="Times New Roman" w:hAnsi="Times New Roman"/>
    </w:rPr>
  </w:style>
  <w:style w:type="character" w:styleId="Mention">
    <w:name w:val="Mention"/>
    <w:basedOn w:val="DefaultParagraphFont"/>
    <w:uiPriority w:val="99"/>
    <w:semiHidden/>
    <w:unhideWhenUsed/>
    <w:rsid w:val="002A73A7"/>
    <w:rPr>
      <w:color w:val="2B579A"/>
      <w:shd w:val="clear" w:color="auto" w:fill="E6E6E6"/>
    </w:rPr>
  </w:style>
  <w:style w:type="paragraph" w:customStyle="1" w:styleId="assinatura">
    <w:name w:val="assinatura"/>
    <w:basedOn w:val="Normal"/>
    <w:rsid w:val="00C66EC8"/>
    <w:pPr>
      <w:spacing w:before="100" w:beforeAutospacing="1" w:after="100" w:afterAutospacing="1" w:line="240" w:lineRule="auto"/>
      <w:jc w:val="left"/>
    </w:pPr>
    <w:rPr>
      <w:rFonts w:eastAsia="Times New Roman" w:cs="Times New Roman"/>
      <w:lang w:val="en-US"/>
    </w:rPr>
  </w:style>
  <w:style w:type="paragraph" w:customStyle="1" w:styleId="texto10">
    <w:name w:val="texto10"/>
    <w:basedOn w:val="Normal"/>
    <w:rsid w:val="00C66EC8"/>
    <w:pPr>
      <w:spacing w:before="100" w:beforeAutospacing="1" w:after="100" w:afterAutospacing="1" w:line="240" w:lineRule="auto"/>
      <w:jc w:val="left"/>
    </w:pPr>
    <w:rPr>
      <w:rFonts w:eastAsia="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95358">
      <w:bodyDiv w:val="1"/>
      <w:marLeft w:val="0"/>
      <w:marRight w:val="0"/>
      <w:marTop w:val="0"/>
      <w:marBottom w:val="0"/>
      <w:divBdr>
        <w:top w:val="none" w:sz="0" w:space="0" w:color="auto"/>
        <w:left w:val="none" w:sz="0" w:space="0" w:color="auto"/>
        <w:bottom w:val="none" w:sz="0" w:space="0" w:color="auto"/>
        <w:right w:val="none" w:sz="0" w:space="0" w:color="auto"/>
      </w:divBdr>
    </w:div>
    <w:div w:id="319969804">
      <w:bodyDiv w:val="1"/>
      <w:marLeft w:val="0"/>
      <w:marRight w:val="0"/>
      <w:marTop w:val="0"/>
      <w:marBottom w:val="0"/>
      <w:divBdr>
        <w:top w:val="none" w:sz="0" w:space="0" w:color="auto"/>
        <w:left w:val="none" w:sz="0" w:space="0" w:color="auto"/>
        <w:bottom w:val="none" w:sz="0" w:space="0" w:color="auto"/>
        <w:right w:val="none" w:sz="0" w:space="0" w:color="auto"/>
      </w:divBdr>
    </w:div>
    <w:div w:id="914170665">
      <w:bodyDiv w:val="1"/>
      <w:marLeft w:val="0"/>
      <w:marRight w:val="0"/>
      <w:marTop w:val="0"/>
      <w:marBottom w:val="0"/>
      <w:divBdr>
        <w:top w:val="none" w:sz="0" w:space="0" w:color="auto"/>
        <w:left w:val="none" w:sz="0" w:space="0" w:color="auto"/>
        <w:bottom w:val="none" w:sz="0" w:space="0" w:color="auto"/>
        <w:right w:val="none" w:sz="0" w:space="0" w:color="auto"/>
      </w:divBdr>
    </w:div>
    <w:div w:id="935094176">
      <w:bodyDiv w:val="1"/>
      <w:marLeft w:val="0"/>
      <w:marRight w:val="0"/>
      <w:marTop w:val="0"/>
      <w:marBottom w:val="0"/>
      <w:divBdr>
        <w:top w:val="none" w:sz="0" w:space="0" w:color="auto"/>
        <w:left w:val="none" w:sz="0" w:space="0" w:color="auto"/>
        <w:bottom w:val="none" w:sz="0" w:space="0" w:color="auto"/>
        <w:right w:val="none" w:sz="0" w:space="0" w:color="auto"/>
      </w:divBdr>
    </w:div>
    <w:div w:id="960769527">
      <w:bodyDiv w:val="1"/>
      <w:marLeft w:val="0"/>
      <w:marRight w:val="0"/>
      <w:marTop w:val="0"/>
      <w:marBottom w:val="0"/>
      <w:divBdr>
        <w:top w:val="none" w:sz="0" w:space="0" w:color="auto"/>
        <w:left w:val="none" w:sz="0" w:space="0" w:color="auto"/>
        <w:bottom w:val="none" w:sz="0" w:space="0" w:color="auto"/>
        <w:right w:val="none" w:sz="0" w:space="0" w:color="auto"/>
      </w:divBdr>
    </w:div>
    <w:div w:id="1415053950">
      <w:bodyDiv w:val="1"/>
      <w:marLeft w:val="0"/>
      <w:marRight w:val="0"/>
      <w:marTop w:val="0"/>
      <w:marBottom w:val="0"/>
      <w:divBdr>
        <w:top w:val="none" w:sz="0" w:space="0" w:color="auto"/>
        <w:left w:val="none" w:sz="0" w:space="0" w:color="auto"/>
        <w:bottom w:val="none" w:sz="0" w:space="0" w:color="auto"/>
        <w:right w:val="none" w:sz="0" w:space="0" w:color="auto"/>
      </w:divBdr>
    </w:div>
    <w:div w:id="1506625476">
      <w:bodyDiv w:val="1"/>
      <w:marLeft w:val="0"/>
      <w:marRight w:val="0"/>
      <w:marTop w:val="0"/>
      <w:marBottom w:val="0"/>
      <w:divBdr>
        <w:top w:val="none" w:sz="0" w:space="0" w:color="auto"/>
        <w:left w:val="none" w:sz="0" w:space="0" w:color="auto"/>
        <w:bottom w:val="none" w:sz="0" w:space="0" w:color="auto"/>
        <w:right w:val="none" w:sz="0" w:space="0" w:color="auto"/>
      </w:divBdr>
      <w:divsChild>
        <w:div w:id="685443899">
          <w:marLeft w:val="0"/>
          <w:marRight w:val="0"/>
          <w:marTop w:val="0"/>
          <w:marBottom w:val="0"/>
          <w:divBdr>
            <w:top w:val="none" w:sz="0" w:space="0" w:color="auto"/>
            <w:left w:val="none" w:sz="0" w:space="0" w:color="auto"/>
            <w:bottom w:val="none" w:sz="0" w:space="0" w:color="auto"/>
            <w:right w:val="none" w:sz="0" w:space="0" w:color="auto"/>
          </w:divBdr>
        </w:div>
      </w:divsChild>
    </w:div>
    <w:div w:id="1646399252">
      <w:bodyDiv w:val="1"/>
      <w:marLeft w:val="0"/>
      <w:marRight w:val="0"/>
      <w:marTop w:val="0"/>
      <w:marBottom w:val="0"/>
      <w:divBdr>
        <w:top w:val="none" w:sz="0" w:space="0" w:color="auto"/>
        <w:left w:val="none" w:sz="0" w:space="0" w:color="auto"/>
        <w:bottom w:val="none" w:sz="0" w:space="0" w:color="auto"/>
        <w:right w:val="none" w:sz="0" w:space="0" w:color="auto"/>
      </w:divBdr>
    </w:div>
    <w:div w:id="1840734160">
      <w:bodyDiv w:val="1"/>
      <w:marLeft w:val="0"/>
      <w:marRight w:val="0"/>
      <w:marTop w:val="0"/>
      <w:marBottom w:val="0"/>
      <w:divBdr>
        <w:top w:val="none" w:sz="0" w:space="0" w:color="auto"/>
        <w:left w:val="none" w:sz="0" w:space="0" w:color="auto"/>
        <w:bottom w:val="none" w:sz="0" w:space="0" w:color="auto"/>
        <w:right w:val="none" w:sz="0" w:space="0" w:color="auto"/>
      </w:divBdr>
    </w:div>
    <w:div w:id="1899583575">
      <w:bodyDiv w:val="1"/>
      <w:marLeft w:val="0"/>
      <w:marRight w:val="0"/>
      <w:marTop w:val="0"/>
      <w:marBottom w:val="0"/>
      <w:divBdr>
        <w:top w:val="none" w:sz="0" w:space="0" w:color="auto"/>
        <w:left w:val="none" w:sz="0" w:space="0" w:color="auto"/>
        <w:bottom w:val="none" w:sz="0" w:space="0" w:color="auto"/>
        <w:right w:val="none" w:sz="0" w:space="0" w:color="auto"/>
      </w:divBdr>
    </w:div>
    <w:div w:id="2068338542">
      <w:bodyDiv w:val="1"/>
      <w:marLeft w:val="0"/>
      <w:marRight w:val="0"/>
      <w:marTop w:val="0"/>
      <w:marBottom w:val="0"/>
      <w:divBdr>
        <w:top w:val="none" w:sz="0" w:space="0" w:color="auto"/>
        <w:left w:val="none" w:sz="0" w:space="0" w:color="auto"/>
        <w:bottom w:val="none" w:sz="0" w:space="0" w:color="auto"/>
        <w:right w:val="none" w:sz="0" w:space="0" w:color="auto"/>
      </w:divBdr>
    </w:div>
    <w:div w:id="21149822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3.xml"/><Relationship Id="rId18" Type="http://schemas.openxmlformats.org/officeDocument/2006/relationships/chart" Target="charts/chart6.xml"/><Relationship Id="rId26" Type="http://schemas.openxmlformats.org/officeDocument/2006/relationships/hyperlink" Target="http://dx.doi.org/10.1016/j.rser.2012.03.024" TargetMode="External"/><Relationship Id="rId3" Type="http://schemas.openxmlformats.org/officeDocument/2006/relationships/styles" Target="styles.xml"/><Relationship Id="rId21" Type="http://schemas.openxmlformats.org/officeDocument/2006/relationships/hyperlink" Target="http://dx.doi.org/10.1016/S0301-4215(03)00122-8" TargetMode="External"/><Relationship Id="rId34" Type="http://schemas.openxmlformats.org/officeDocument/2006/relationships/hyperlink" Target="http://www.ren21.net/wp-content/uploads/2016/06/GSR_2016_Full_Report.pdf" TargetMode="External"/><Relationship Id="rId7" Type="http://schemas.openxmlformats.org/officeDocument/2006/relationships/endnotes" Target="endnotes.xml"/><Relationship Id="rId12" Type="http://schemas.openxmlformats.org/officeDocument/2006/relationships/hyperlink" Target="http://static.cdn-seekingalpha.com/uploads/2013/3/12/1356991-136309597885032-Jeff-Williams.jpg" TargetMode="External"/><Relationship Id="rId17" Type="http://schemas.openxmlformats.org/officeDocument/2006/relationships/hyperlink" Target="http://plataforma.seeg.eco.br/total_emission" TargetMode="External"/><Relationship Id="rId25" Type="http://schemas.openxmlformats.org/officeDocument/2006/relationships/hyperlink" Target="http://dx.doi.org/10.1016/j.enpol.2011.04.058" TargetMode="External"/><Relationship Id="rId33" Type="http://schemas.openxmlformats.org/officeDocument/2006/relationships/hyperlink" Target="http://www.epe.gov.br/PDEE/PDE%202024.pdf"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hyperlink" Target="http://dx.doi.org/10.1016/j.enpol.2004.02.012" TargetMode="External"/><Relationship Id="rId29" Type="http://schemas.openxmlformats.org/officeDocument/2006/relationships/hyperlink" Target="http://dx.doi.org/10.1016/j.enpol.2011.04.05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dx.doi.org/10.1016/j.enpol.2008.10.029" TargetMode="External"/><Relationship Id="rId32" Type="http://schemas.openxmlformats.org/officeDocument/2006/relationships/hyperlink" Target="http://www.eia.gov/cfapps/ipdbproject/iedindex3.cfm?tid=5&amp;pid=57&amp;aid=6&amp;cid=regions&amp;syid=2010&amp;eyid=2015&amp;unit=BB"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dx.doi.org/10.1016/j.renene.2009.10.022" TargetMode="External"/><Relationship Id="rId28" Type="http://schemas.openxmlformats.org/officeDocument/2006/relationships/hyperlink" Target="http://www.cresesb.cepel.br/publicacoes/download/atlas_eolico/Atlas%20do%20Potencial%20Eolico%20Brasileiro.pdf" TargetMode="External"/><Relationship Id="rId36"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chart" Target="charts/chart7.xml"/><Relationship Id="rId31" Type="http://schemas.openxmlformats.org/officeDocument/2006/relationships/hyperlink" Target="http://dx.doi.org/10.1016/j.resourpol.2004.05.001"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4.xml"/><Relationship Id="rId22" Type="http://schemas.openxmlformats.org/officeDocument/2006/relationships/hyperlink" Target="http://dx.doi.org/10.1016/j.rser.2010.04.003" TargetMode="External"/><Relationship Id="rId27" Type="http://schemas.openxmlformats.org/officeDocument/2006/relationships/hyperlink" Target="http://s3.amazonaws.com/zanran_storage/www.winrock.org/ContentPages/18904417.pdf" TargetMode="External"/><Relationship Id="rId30" Type="http://schemas.openxmlformats.org/officeDocument/2006/relationships/hyperlink" Target="http://www.mma.gov.br/estruturas/smcq_climaticas/_arquivos/plano_nacional_mudanca_clima.pdf" TargetMode="External"/><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matossh\OneDrive\Climate%20Science%20class\help.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RaiderDrive\users\mmatossh\MPA\PUAD_5323_Science%20and%20policy%20of%20Climate%20Change\Final%20paper\help.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toaster\homes\h\s\hsharifan\nt\Melina\variables.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toaster\homes\h\s\hsharifan\nt\Melina\variables.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toaster\homes\h\s\hsharifan\nt\Melina\Emiss&#227;o%20CO2e%20(t)%20GWP-AR2%20(1990%20-%202015)%20%5bBrasil%5d.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toaster\homes\h\s\hsharifan\nt\Melina\Emiss&#227;o%20CO2e%20(t)%20GWP-AR2%20(1990%20-%202015)%20%5bBrasil%5d.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toaster\homes\h\s\hsharifan\nt\Melina\Emiss&#227;o%20CO2e%20(t)%20GWP-AR2%20(1990%20-%202015)%20%5bBrasil%5d.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spPr>
        <a:noFill/>
        <a:ln>
          <a:noFill/>
        </a:ln>
      </c:spPr>
    </c:floor>
    <c:sideWall>
      <c:thickness val="0"/>
      <c:spPr>
        <a:noFill/>
        <a:ln>
          <a:noFill/>
        </a:ln>
      </c:spPr>
    </c:sideWall>
    <c:backWall>
      <c:thickness val="0"/>
      <c:spPr>
        <a:noFill/>
        <a:ln>
          <a:noFill/>
        </a:ln>
      </c:spPr>
    </c:backWall>
    <c:plotArea>
      <c:layout>
        <c:manualLayout>
          <c:layoutTarget val="inner"/>
          <c:xMode val="edge"/>
          <c:yMode val="edge"/>
          <c:x val="7.9764428739693763E-2"/>
          <c:y val="0.27451090248334342"/>
          <c:w val="0.67296439535164121"/>
          <c:h val="0.650819705229154"/>
        </c:manualLayout>
      </c:layout>
      <c:pie3DChart>
        <c:varyColors val="1"/>
        <c:ser>
          <c:idx val="0"/>
          <c:order val="0"/>
          <c:dPt>
            <c:idx val="0"/>
            <c:bubble3D val="0"/>
            <c:spPr>
              <a:solidFill>
                <a:schemeClr val="accent6"/>
              </a:solidFill>
              <a:ln w="25400">
                <a:solidFill>
                  <a:schemeClr val="lt1"/>
                </a:solidFill>
              </a:ln>
            </c:spPr>
            <c:extLst>
              <c:ext xmlns:c16="http://schemas.microsoft.com/office/drawing/2014/chart" uri="{C3380CC4-5D6E-409C-BE32-E72D297353CC}">
                <c16:uniqueId val="{00000001-12A7-40CD-B647-0D7089E06707}"/>
              </c:ext>
            </c:extLst>
          </c:dPt>
          <c:dPt>
            <c:idx val="1"/>
            <c:bubble3D val="0"/>
            <c:spPr>
              <a:solidFill>
                <a:schemeClr val="accent5"/>
              </a:solidFill>
              <a:ln w="25400">
                <a:solidFill>
                  <a:schemeClr val="lt1"/>
                </a:solidFill>
              </a:ln>
            </c:spPr>
            <c:extLst>
              <c:ext xmlns:c16="http://schemas.microsoft.com/office/drawing/2014/chart" uri="{C3380CC4-5D6E-409C-BE32-E72D297353CC}">
                <c16:uniqueId val="{00000003-FBC1-4C9D-A846-DC43C51823A9}"/>
              </c:ext>
            </c:extLst>
          </c:dPt>
          <c:dPt>
            <c:idx val="2"/>
            <c:bubble3D val="0"/>
            <c:spPr>
              <a:solidFill>
                <a:schemeClr val="accent4"/>
              </a:solidFill>
              <a:ln w="25400">
                <a:solidFill>
                  <a:schemeClr val="lt1"/>
                </a:solidFill>
              </a:ln>
            </c:spPr>
            <c:extLst>
              <c:ext xmlns:c16="http://schemas.microsoft.com/office/drawing/2014/chart" uri="{C3380CC4-5D6E-409C-BE32-E72D297353CC}">
                <c16:uniqueId val="{00000005-FBC1-4C9D-A846-DC43C51823A9}"/>
              </c:ext>
            </c:extLst>
          </c:dPt>
          <c:dPt>
            <c:idx val="3"/>
            <c:bubble3D val="0"/>
            <c:spPr>
              <a:solidFill>
                <a:schemeClr val="accent6">
                  <a:lumMod val="60000"/>
                </a:schemeClr>
              </a:solidFill>
              <a:ln w="25400">
                <a:solidFill>
                  <a:schemeClr val="lt1"/>
                </a:solidFill>
              </a:ln>
            </c:spPr>
            <c:extLst>
              <c:ext xmlns:c16="http://schemas.microsoft.com/office/drawing/2014/chart" uri="{C3380CC4-5D6E-409C-BE32-E72D297353CC}">
                <c16:uniqueId val="{00000007-FBC1-4C9D-A846-DC43C51823A9}"/>
              </c:ext>
            </c:extLst>
          </c:dPt>
          <c:dPt>
            <c:idx val="4"/>
            <c:bubble3D val="0"/>
            <c:spPr>
              <a:solidFill>
                <a:schemeClr val="accent5">
                  <a:lumMod val="60000"/>
                </a:schemeClr>
              </a:solidFill>
              <a:ln w="25400">
                <a:solidFill>
                  <a:schemeClr val="lt1"/>
                </a:solidFill>
              </a:ln>
            </c:spPr>
            <c:extLst>
              <c:ext xmlns:c16="http://schemas.microsoft.com/office/drawing/2014/chart" uri="{C3380CC4-5D6E-409C-BE32-E72D297353CC}">
                <c16:uniqueId val="{00000009-FBC1-4C9D-A846-DC43C51823A9}"/>
              </c:ext>
            </c:extLst>
          </c:dPt>
          <c:dPt>
            <c:idx val="5"/>
            <c:bubble3D val="0"/>
            <c:spPr>
              <a:solidFill>
                <a:schemeClr val="accent4">
                  <a:lumMod val="60000"/>
                </a:schemeClr>
              </a:solidFill>
              <a:ln w="25400">
                <a:solidFill>
                  <a:schemeClr val="lt1"/>
                </a:solidFill>
              </a:ln>
            </c:spPr>
            <c:extLst>
              <c:ext xmlns:c16="http://schemas.microsoft.com/office/drawing/2014/chart" uri="{C3380CC4-5D6E-409C-BE32-E72D297353CC}">
                <c16:uniqueId val="{0000000B-FBC1-4C9D-A846-DC43C51823A9}"/>
              </c:ext>
            </c:extLst>
          </c:dPt>
          <c:dPt>
            <c:idx val="6"/>
            <c:bubble3D val="0"/>
            <c:spPr>
              <a:solidFill>
                <a:schemeClr val="accent6">
                  <a:lumMod val="80000"/>
                  <a:lumOff val="20000"/>
                </a:schemeClr>
              </a:solidFill>
              <a:ln w="25400">
                <a:solidFill>
                  <a:schemeClr val="lt1"/>
                </a:solidFill>
              </a:ln>
            </c:spPr>
            <c:extLst>
              <c:ext xmlns:c16="http://schemas.microsoft.com/office/drawing/2014/chart" uri="{C3380CC4-5D6E-409C-BE32-E72D297353CC}">
                <c16:uniqueId val="{0000000D-FBC1-4C9D-A846-DC43C51823A9}"/>
              </c:ext>
            </c:extLst>
          </c:dPt>
          <c:dPt>
            <c:idx val="7"/>
            <c:bubble3D val="0"/>
            <c:spPr>
              <a:solidFill>
                <a:schemeClr val="accent5">
                  <a:lumMod val="80000"/>
                  <a:lumOff val="20000"/>
                </a:schemeClr>
              </a:solidFill>
              <a:ln w="25400">
                <a:solidFill>
                  <a:schemeClr val="lt1"/>
                </a:solidFill>
              </a:ln>
            </c:spPr>
            <c:extLst>
              <c:ext xmlns:c16="http://schemas.microsoft.com/office/drawing/2014/chart" uri="{C3380CC4-5D6E-409C-BE32-E72D297353CC}">
                <c16:uniqueId val="{0000000F-12A7-40CD-B647-0D7089E06707}"/>
              </c:ext>
            </c:extLst>
          </c:dPt>
          <c:dLbls>
            <c:dLbl>
              <c:idx val="0"/>
              <c:layout>
                <c:manualLayout>
                  <c:x val="-0.33451118963486454"/>
                  <c:y val="-4.7103775489602262E-2"/>
                </c:manualLayout>
              </c:layout>
              <c:showLegendKey val="0"/>
              <c:showVal val="1"/>
              <c:showCatName val="1"/>
              <c:showSerName val="0"/>
              <c:showPercent val="0"/>
              <c:showBubbleSize val="0"/>
              <c:extLst>
                <c:ext xmlns:c15="http://schemas.microsoft.com/office/drawing/2012/chart" uri="{CE6537A1-D6FC-4f65-9D91-7224C49458BB}">
                  <c15:layout>
                    <c:manualLayout>
                      <c:w val="0.30506478209658422"/>
                      <c:h val="0.13461538461538461"/>
                    </c:manualLayout>
                  </c15:layout>
                </c:ext>
                <c:ext xmlns:c16="http://schemas.microsoft.com/office/drawing/2014/chart" uri="{C3380CC4-5D6E-409C-BE32-E72D297353CC}">
                  <c16:uniqueId val="{00000001-12A7-40CD-B647-0D7089E06707}"/>
                </c:ext>
              </c:extLst>
            </c:dLbl>
            <c:dLbl>
              <c:idx val="7"/>
              <c:layout>
                <c:manualLayout>
                  <c:x val="0.16789969718951528"/>
                  <c:y val="-0.32510245508572533"/>
                </c:manualLayout>
              </c:layout>
              <c:showLegendKey val="0"/>
              <c:showVal val="1"/>
              <c:showCatName val="1"/>
              <c:showSerName val="0"/>
              <c:showPercent val="0"/>
              <c:showBubbleSize val="0"/>
              <c:extLst>
                <c:ext xmlns:c15="http://schemas.microsoft.com/office/drawing/2012/chart" uri="{CE6537A1-D6FC-4f65-9D91-7224C49458BB}">
                  <c15:layout>
                    <c:manualLayout>
                      <c:w val="0.25925526712445801"/>
                      <c:h val="0.16854785935450656"/>
                    </c:manualLayout>
                  </c15:layout>
                </c:ext>
                <c:ext xmlns:c16="http://schemas.microsoft.com/office/drawing/2014/chart" uri="{C3380CC4-5D6E-409C-BE32-E72D297353CC}">
                  <c16:uniqueId val="{0000000F-12A7-40CD-B647-0D7089E06707}"/>
                </c:ext>
              </c:extLst>
            </c:dLbl>
            <c:spPr>
              <a:noFill/>
              <a:ln>
                <a:noFill/>
              </a:ln>
            </c:spPr>
            <c:txPr>
              <a:bodyPr rot="0" spcFirstLastPara="1" vertOverflow="ellipsis" vert="horz" wrap="square" anchor="ctr" anchorCtr="1"/>
              <a:lstStyle/>
              <a:p>
                <a:pPr>
                  <a:defRPr sz="800" b="0" i="0" u="none" strike="noStrike" kern="1200" baseline="0">
                    <a:solidFill>
                      <a:schemeClr val="tx1">
                        <a:lumMod val="50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showLeaderLines val="1"/>
            <c:leaderLines>
              <c:spPr>
                <a:ln w="9525">
                  <a:solidFill>
                    <a:schemeClr val="tx1">
                      <a:lumMod val="35000"/>
                      <a:lumOff val="65000"/>
                    </a:schemeClr>
                  </a:solidFill>
                  <a:round/>
                </a:ln>
              </c:spPr>
            </c:leaderLines>
            <c:extLst>
              <c:ext xmlns:c15="http://schemas.microsoft.com/office/drawing/2012/chart" uri="{CE6537A1-D6FC-4f65-9D91-7224C49458BB}"/>
            </c:extLst>
          </c:dLbls>
          <c:cat>
            <c:strRef>
              <c:f>Sheet4!$A$1:$A$8</c:f>
              <c:strCache>
                <c:ptCount val="8"/>
                <c:pt idx="0">
                  <c:v>Importation</c:v>
                </c:pt>
                <c:pt idx="1">
                  <c:v>Industrial gas</c:v>
                </c:pt>
                <c:pt idx="2">
                  <c:v>Biomass</c:v>
                </c:pt>
                <c:pt idx="3">
                  <c:v>Oil</c:v>
                </c:pt>
                <c:pt idx="4">
                  <c:v>Coal</c:v>
                </c:pt>
                <c:pt idx="5">
                  <c:v>Natural gas</c:v>
                </c:pt>
                <c:pt idx="6">
                  <c:v>Nuclear</c:v>
                </c:pt>
                <c:pt idx="7">
                  <c:v>Hidropower</c:v>
                </c:pt>
              </c:strCache>
            </c:strRef>
          </c:cat>
          <c:val>
            <c:numRef>
              <c:f>Sheet4!$B$1:$B$8</c:f>
              <c:numCache>
                <c:formatCode>0%</c:formatCode>
                <c:ptCount val="8"/>
                <c:pt idx="0">
                  <c:v>7.9000000000000001E-2</c:v>
                </c:pt>
                <c:pt idx="1">
                  <c:v>0.01</c:v>
                </c:pt>
                <c:pt idx="2">
                  <c:v>3.5000000000000003E-2</c:v>
                </c:pt>
                <c:pt idx="3">
                  <c:v>2.8000000000000001E-2</c:v>
                </c:pt>
                <c:pt idx="4">
                  <c:v>1.2999999999999999E-2</c:v>
                </c:pt>
                <c:pt idx="5">
                  <c:v>2.5000000000000001E-2</c:v>
                </c:pt>
                <c:pt idx="6">
                  <c:v>3.5999999999999997E-2</c:v>
                </c:pt>
                <c:pt idx="7">
                  <c:v>0.77400000000000002</c:v>
                </c:pt>
              </c:numCache>
            </c:numRef>
          </c:val>
          <c:extLst>
            <c:ext xmlns:c16="http://schemas.microsoft.com/office/drawing/2014/chart" uri="{C3380CC4-5D6E-409C-BE32-E72D297353CC}">
              <c16:uniqueId val="{00000010-FBC1-4C9D-A846-DC43C51823A9}"/>
            </c:ext>
          </c:extLst>
        </c:ser>
        <c:dLbls>
          <c:showLegendKey val="0"/>
          <c:showVal val="1"/>
          <c:showCatName val="1"/>
          <c:showSerName val="0"/>
          <c:showPercent val="0"/>
          <c:showBubbleSize val="0"/>
          <c:showLeaderLines val="1"/>
        </c:dLbls>
      </c:pie3DChart>
      <c:spPr>
        <a:noFill/>
        <a:ln>
          <a:noFill/>
        </a:ln>
      </c:spPr>
    </c:plotArea>
    <c:plotVisOnly val="1"/>
    <c:dispBlanksAs val="gap"/>
    <c:showDLblsOverMax val="0"/>
  </c:chart>
  <c:spPr>
    <a:noFill/>
    <a:ln w="9525">
      <a:noFill/>
      <a:round/>
    </a:ln>
  </c:spPr>
  <c:txPr>
    <a:bodyPr/>
    <a:lstStyle/>
    <a:p>
      <a:pPr>
        <a:defRPr sz="14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spPr>
        <a:noFill/>
        <a:ln>
          <a:noFill/>
        </a:ln>
      </c:spPr>
    </c:floor>
    <c:sideWall>
      <c:thickness val="0"/>
      <c:spPr>
        <a:noFill/>
        <a:ln>
          <a:noFill/>
        </a:ln>
      </c:spPr>
    </c:sideWall>
    <c:backWall>
      <c:thickness val="0"/>
      <c:spPr>
        <a:noFill/>
        <a:ln>
          <a:noFill/>
        </a:ln>
      </c:spPr>
    </c:backWall>
    <c:plotArea>
      <c:layout>
        <c:manualLayout>
          <c:layoutTarget val="inner"/>
          <c:xMode val="edge"/>
          <c:yMode val="edge"/>
          <c:x val="0.15891861706177188"/>
          <c:y val="0.17373647756258381"/>
          <c:w val="0.72338145231846029"/>
          <c:h val="0.69079314829564353"/>
        </c:manualLayout>
      </c:layout>
      <c:pie3DChart>
        <c:varyColors val="1"/>
        <c:ser>
          <c:idx val="0"/>
          <c:order val="0"/>
          <c:dPt>
            <c:idx val="0"/>
            <c:bubble3D val="0"/>
            <c:spPr>
              <a:solidFill>
                <a:schemeClr val="accent1"/>
              </a:solidFill>
              <a:ln w="25400">
                <a:solidFill>
                  <a:schemeClr val="lt1"/>
                </a:solidFill>
              </a:ln>
            </c:spPr>
            <c:extLst>
              <c:ext xmlns:c16="http://schemas.microsoft.com/office/drawing/2014/chart" uri="{C3380CC4-5D6E-409C-BE32-E72D297353CC}">
                <c16:uniqueId val="{00000001-744C-4F33-B2E0-6CE19EF3C9EC}"/>
              </c:ext>
            </c:extLst>
          </c:dPt>
          <c:dPt>
            <c:idx val="1"/>
            <c:bubble3D val="0"/>
            <c:spPr>
              <a:solidFill>
                <a:schemeClr val="accent2"/>
              </a:solidFill>
              <a:ln w="25400">
                <a:solidFill>
                  <a:schemeClr val="lt1"/>
                </a:solidFill>
              </a:ln>
            </c:spPr>
            <c:extLst>
              <c:ext xmlns:c16="http://schemas.microsoft.com/office/drawing/2014/chart" uri="{C3380CC4-5D6E-409C-BE32-E72D297353CC}">
                <c16:uniqueId val="{00000003-EAE2-4930-B199-31E757998080}"/>
              </c:ext>
            </c:extLst>
          </c:dPt>
          <c:dPt>
            <c:idx val="2"/>
            <c:bubble3D val="0"/>
            <c:spPr>
              <a:solidFill>
                <a:schemeClr val="accent3"/>
              </a:solidFill>
              <a:ln w="25400">
                <a:solidFill>
                  <a:schemeClr val="lt1"/>
                </a:solidFill>
              </a:ln>
            </c:spPr>
            <c:extLst>
              <c:ext xmlns:c16="http://schemas.microsoft.com/office/drawing/2014/chart" uri="{C3380CC4-5D6E-409C-BE32-E72D297353CC}">
                <c16:uniqueId val="{00000005-EAE2-4930-B199-31E757998080}"/>
              </c:ext>
            </c:extLst>
          </c:dPt>
          <c:dPt>
            <c:idx val="3"/>
            <c:bubble3D val="0"/>
            <c:spPr>
              <a:solidFill>
                <a:schemeClr val="accent4"/>
              </a:solidFill>
              <a:ln w="25400">
                <a:solidFill>
                  <a:schemeClr val="lt1"/>
                </a:solidFill>
              </a:ln>
            </c:spPr>
            <c:extLst>
              <c:ext xmlns:c16="http://schemas.microsoft.com/office/drawing/2014/chart" uri="{C3380CC4-5D6E-409C-BE32-E72D297353CC}">
                <c16:uniqueId val="{00000007-744C-4F33-B2E0-6CE19EF3C9EC}"/>
              </c:ext>
            </c:extLst>
          </c:dPt>
          <c:dPt>
            <c:idx val="4"/>
            <c:bubble3D val="0"/>
            <c:spPr>
              <a:solidFill>
                <a:schemeClr val="accent5"/>
              </a:solidFill>
              <a:ln w="25400">
                <a:solidFill>
                  <a:schemeClr val="lt1"/>
                </a:solidFill>
              </a:ln>
            </c:spPr>
            <c:extLst>
              <c:ext xmlns:c16="http://schemas.microsoft.com/office/drawing/2014/chart" uri="{C3380CC4-5D6E-409C-BE32-E72D297353CC}">
                <c16:uniqueId val="{00000009-744C-4F33-B2E0-6CE19EF3C9EC}"/>
              </c:ext>
            </c:extLst>
          </c:dPt>
          <c:dPt>
            <c:idx val="5"/>
            <c:bubble3D val="0"/>
            <c:spPr>
              <a:solidFill>
                <a:schemeClr val="accent6"/>
              </a:solidFill>
              <a:ln w="25400">
                <a:solidFill>
                  <a:schemeClr val="lt1"/>
                </a:solidFill>
              </a:ln>
            </c:spPr>
            <c:extLst>
              <c:ext xmlns:c16="http://schemas.microsoft.com/office/drawing/2014/chart" uri="{C3380CC4-5D6E-409C-BE32-E72D297353CC}">
                <c16:uniqueId val="{0000000B-EAE2-4930-B199-31E757998080}"/>
              </c:ext>
            </c:extLst>
          </c:dPt>
          <c:dPt>
            <c:idx val="6"/>
            <c:bubble3D val="0"/>
            <c:spPr>
              <a:solidFill>
                <a:schemeClr val="accent1">
                  <a:lumMod val="60000"/>
                </a:schemeClr>
              </a:solidFill>
              <a:ln w="25400">
                <a:solidFill>
                  <a:schemeClr val="lt1"/>
                </a:solidFill>
              </a:ln>
            </c:spPr>
            <c:extLst>
              <c:ext xmlns:c16="http://schemas.microsoft.com/office/drawing/2014/chart" uri="{C3380CC4-5D6E-409C-BE32-E72D297353CC}">
                <c16:uniqueId val="{0000000D-744C-4F33-B2E0-6CE19EF3C9EC}"/>
              </c:ext>
            </c:extLst>
          </c:dPt>
          <c:dPt>
            <c:idx val="7"/>
            <c:bubble3D val="0"/>
            <c:spPr>
              <a:solidFill>
                <a:schemeClr val="accent2">
                  <a:lumMod val="60000"/>
                </a:schemeClr>
              </a:solidFill>
              <a:ln w="25400">
                <a:solidFill>
                  <a:schemeClr val="lt1"/>
                </a:solidFill>
              </a:ln>
            </c:spPr>
            <c:extLst>
              <c:ext xmlns:c16="http://schemas.microsoft.com/office/drawing/2014/chart" uri="{C3380CC4-5D6E-409C-BE32-E72D297353CC}">
                <c16:uniqueId val="{0000000F-EAE2-4930-B199-31E757998080}"/>
              </c:ext>
            </c:extLst>
          </c:dPt>
          <c:dLbls>
            <c:dLbl>
              <c:idx val="0"/>
              <c:layout>
                <c:manualLayout>
                  <c:x val="-0.22161915863825182"/>
                  <c:y val="1.941028672273446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44C-4F33-B2E0-6CE19EF3C9EC}"/>
                </c:ext>
              </c:extLst>
            </c:dLbl>
            <c:dLbl>
              <c:idx val="3"/>
              <c:layout>
                <c:manualLayout>
                  <c:x val="-5.146006643237392E-2"/>
                  <c:y val="-3.799741901660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44C-4F33-B2E0-6CE19EF3C9EC}"/>
                </c:ext>
              </c:extLst>
            </c:dLbl>
            <c:dLbl>
              <c:idx val="4"/>
              <c:layout>
                <c:manualLayout>
                  <c:x val="0.23062339665168968"/>
                  <c:y val="-0.23996189016705818"/>
                </c:manualLayout>
              </c:layout>
              <c:spPr>
                <a:noFill/>
                <a:ln>
                  <a:noFill/>
                </a:ln>
              </c:spPr>
              <c:txPr>
                <a:bodyPr rot="0" vert="horz"/>
                <a:lstStyle/>
                <a:p>
                  <a:pPr>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27669911155736421"/>
                      <c:h val="0.25264162389527756"/>
                    </c:manualLayout>
                  </c15:layout>
                </c:ext>
                <c:ext xmlns:c16="http://schemas.microsoft.com/office/drawing/2014/chart" uri="{C3380CC4-5D6E-409C-BE32-E72D297353CC}">
                  <c16:uniqueId val="{00000009-744C-4F33-B2E0-6CE19EF3C9EC}"/>
                </c:ext>
              </c:extLst>
            </c:dLbl>
            <c:dLbl>
              <c:idx val="6"/>
              <c:layout>
                <c:manualLayout>
                  <c:x val="0.19327038569331376"/>
                  <c:y val="7.4063637371832969E-2"/>
                </c:manualLayout>
              </c:layout>
              <c:spPr>
                <a:noFill/>
                <a:ln>
                  <a:noFill/>
                </a:ln>
              </c:spPr>
              <c:txPr>
                <a:bodyPr rot="0" vert="horz"/>
                <a:lstStyle/>
                <a:p>
                  <a:pPr>
                    <a:defRPr>
                      <a:solidFill>
                        <a:schemeClr val="bg1"/>
                      </a:solidFill>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744C-4F33-B2E0-6CE19EF3C9EC}"/>
                </c:ext>
              </c:extLst>
            </c:dLbl>
            <c:spPr>
              <a:noFill/>
              <a:ln>
                <a:noFill/>
              </a:ln>
            </c:spPr>
            <c:txPr>
              <a:bodyPr rot="0" vert="horz"/>
              <a:lstStyle/>
              <a:p>
                <a:pPr>
                  <a:defRPr/>
                </a:pPr>
                <a:endParaRPr lang="en-US"/>
              </a:p>
            </c:txPr>
            <c:showLegendKey val="0"/>
            <c:showVal val="0"/>
            <c:showCatName val="1"/>
            <c:showSerName val="0"/>
            <c:showPercent val="1"/>
            <c:showBubbleSize val="0"/>
            <c:showLeaderLines val="1"/>
            <c:leaderLines>
              <c:spPr>
                <a:ln w="9525">
                  <a:solidFill>
                    <a:schemeClr val="tx1">
                      <a:lumMod val="35000"/>
                      <a:lumOff val="65000"/>
                    </a:schemeClr>
                  </a:solidFill>
                  <a:round/>
                </a:ln>
              </c:spPr>
            </c:leaderLines>
            <c:extLst>
              <c:ext xmlns:c15="http://schemas.microsoft.com/office/drawing/2012/chart" uri="{CE6537A1-D6FC-4f65-9D91-7224C49458BB}"/>
            </c:extLst>
          </c:dLbls>
          <c:cat>
            <c:strRef>
              <c:f>(Sheet3!$A$4:$A$7,Sheet3!$A$9:$A$12)</c:f>
              <c:strCache>
                <c:ptCount val="8"/>
                <c:pt idx="0">
                  <c:v>Oil</c:v>
                </c:pt>
                <c:pt idx="1">
                  <c:v>Gas</c:v>
                </c:pt>
                <c:pt idx="2">
                  <c:v>Coal</c:v>
                </c:pt>
                <c:pt idx="3">
                  <c:v>Uraniun - U3O8</c:v>
                </c:pt>
                <c:pt idx="4">
                  <c:v>Hydropower</c:v>
                </c:pt>
                <c:pt idx="5">
                  <c:v>Wood</c:v>
                </c:pt>
                <c:pt idx="6">
                  <c:v>Sugar can</c:v>
                </c:pt>
                <c:pt idx="7">
                  <c:v>Others*</c:v>
                </c:pt>
              </c:strCache>
            </c:strRef>
          </c:cat>
          <c:val>
            <c:numRef>
              <c:f>(Sheet3!$C$4:$C$7,Sheet3!$C$9:$C$12)</c:f>
              <c:numCache>
                <c:formatCode>0.00%</c:formatCode>
                <c:ptCount val="8"/>
                <c:pt idx="0">
                  <c:v>0.42399999999999999</c:v>
                </c:pt>
                <c:pt idx="1">
                  <c:v>9.2999999999999999E-2</c:v>
                </c:pt>
                <c:pt idx="2">
                  <c:v>8.0000000000000002E-3</c:v>
                </c:pt>
                <c:pt idx="3">
                  <c:v>1.6E-2</c:v>
                </c:pt>
                <c:pt idx="4">
                  <c:v>0.14299999999999999</c:v>
                </c:pt>
                <c:pt idx="5">
                  <c:v>0.10299999999999999</c:v>
                </c:pt>
                <c:pt idx="6">
                  <c:v>0.1699</c:v>
                </c:pt>
                <c:pt idx="7">
                  <c:v>4.3999999999999997E-2</c:v>
                </c:pt>
              </c:numCache>
            </c:numRef>
          </c:val>
          <c:extLst>
            <c:ext xmlns:c16="http://schemas.microsoft.com/office/drawing/2014/chart" uri="{C3380CC4-5D6E-409C-BE32-E72D297353CC}">
              <c16:uniqueId val="{00000010-EAE2-4930-B199-31E757998080}"/>
            </c:ext>
          </c:extLst>
        </c:ser>
        <c:dLbls>
          <c:showLegendKey val="0"/>
          <c:showVal val="0"/>
          <c:showCatName val="1"/>
          <c:showSerName val="0"/>
          <c:showPercent val="1"/>
          <c:showBubbleSize val="0"/>
          <c:showLeaderLines val="1"/>
        </c:dLbls>
      </c:pie3DChart>
      <c:spPr>
        <a:noFill/>
        <a:ln>
          <a:noFill/>
        </a:ln>
      </c:spPr>
    </c:plotArea>
    <c:plotVisOnly val="1"/>
    <c:dispBlanksAs val="gap"/>
    <c:showDLblsOverMax val="0"/>
  </c:chart>
  <c:spPr>
    <a:noFill/>
    <a:ln w="9525">
      <a:noFill/>
      <a:round/>
    </a:ln>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'model 1'!$A$3</c:f>
              <c:strCache>
                <c:ptCount val="1"/>
                <c:pt idx="0">
                  <c:v>Average barrels of oil produced per day</c:v>
                </c:pt>
              </c:strCache>
            </c:strRef>
          </c:tx>
          <c:spPr>
            <a:solidFill>
              <a:schemeClr val="accent1"/>
            </a:solidFill>
            <a:ln>
              <a:noFill/>
            </a:ln>
            <a:effectLst/>
            <a:sp3d/>
          </c:spPr>
          <c:invertIfNegative val="0"/>
          <c:cat>
            <c:numRef>
              <c:f>'model 1'!$B$1:$Q$1</c:f>
              <c:numCache>
                <c:formatCode>0</c:formatCode>
                <c:ptCount val="16"/>
                <c:pt idx="0" formatCode="General">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numCache>
            </c:numRef>
          </c:cat>
          <c:val>
            <c:numRef>
              <c:f>'model 1'!$B$3:$Q$3</c:f>
              <c:numCache>
                <c:formatCode>_(* #,##0_);_(* \(#,##0\);_(* "-"??_);_(@_)</c:formatCode>
                <c:ptCount val="16"/>
                <c:pt idx="0">
                  <c:v>1535</c:v>
                </c:pt>
                <c:pt idx="1">
                  <c:v>1701</c:v>
                </c:pt>
                <c:pt idx="2">
                  <c:v>1661</c:v>
                </c:pt>
                <c:pt idx="3">
                  <c:v>1847</c:v>
                </c:pt>
                <c:pt idx="4">
                  <c:v>1920</c:v>
                </c:pt>
                <c:pt idx="5">
                  <c:v>1918</c:v>
                </c:pt>
                <c:pt idx="6">
                  <c:v>1979</c:v>
                </c:pt>
                <c:pt idx="7">
                  <c:v>2113</c:v>
                </c:pt>
                <c:pt idx="8">
                  <c:v>1931</c:v>
                </c:pt>
                <c:pt idx="9">
                  <c:v>2156</c:v>
                </c:pt>
                <c:pt idx="10">
                  <c:v>2170</c:v>
                </c:pt>
                <c:pt idx="11">
                  <c:v>2126</c:v>
                </c:pt>
                <c:pt idx="12">
                  <c:v>2059</c:v>
                </c:pt>
                <c:pt idx="13">
                  <c:v>2150</c:v>
                </c:pt>
                <c:pt idx="14">
                  <c:v>2227</c:v>
                </c:pt>
                <c:pt idx="15">
                  <c:v>2558</c:v>
                </c:pt>
              </c:numCache>
            </c:numRef>
          </c:val>
          <c:extLst>
            <c:ext xmlns:c16="http://schemas.microsoft.com/office/drawing/2014/chart" uri="{C3380CC4-5D6E-409C-BE32-E72D297353CC}">
              <c16:uniqueId val="{00000000-181F-4BEE-9452-B1DA3B411DBC}"/>
            </c:ext>
          </c:extLst>
        </c:ser>
        <c:dLbls>
          <c:showLegendKey val="0"/>
          <c:showVal val="0"/>
          <c:showCatName val="0"/>
          <c:showSerName val="0"/>
          <c:showPercent val="0"/>
          <c:showBubbleSize val="0"/>
        </c:dLbls>
        <c:gapWidth val="150"/>
        <c:shape val="box"/>
        <c:axId val="865479791"/>
        <c:axId val="865488111"/>
        <c:axId val="0"/>
      </c:bar3DChart>
      <c:catAx>
        <c:axId val="865479791"/>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65488111"/>
        <c:crosses val="autoZero"/>
        <c:auto val="1"/>
        <c:lblAlgn val="ctr"/>
        <c:lblOffset val="100"/>
        <c:noMultiLvlLbl val="0"/>
      </c:catAx>
      <c:valAx>
        <c:axId val="8654881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 Average Barrels of Oil per day (bpd)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6547979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'model 1'!$A$13:$B$13</c:f>
              <c:strCache>
                <c:ptCount val="2"/>
                <c:pt idx="0">
                  <c:v>Gasoline pump price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'model 1'!$C$12:$P$12</c:f>
              <c:numCache>
                <c:formatCode>0</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'model 1'!$C$13:$P$13</c:f>
              <c:numCache>
                <c:formatCode>0.00%</c:formatCode>
                <c:ptCount val="14"/>
                <c:pt idx="0">
                  <c:v>-3.4582132564841528E-3</c:v>
                </c:pt>
                <c:pt idx="1">
                  <c:v>0.13552566018933732</c:v>
                </c:pt>
                <c:pt idx="2">
                  <c:v>6.0832943378568038E-2</c:v>
                </c:pt>
                <c:pt idx="3">
                  <c:v>8.6752136752136694E-2</c:v>
                </c:pt>
                <c:pt idx="4">
                  <c:v>8.3072100313479696E-2</c:v>
                </c:pt>
                <c:pt idx="5">
                  <c:v>-1.8762475049900262E-2</c:v>
                </c:pt>
                <c:pt idx="6">
                  <c:v>-1.9999999999999575E-3</c:v>
                </c:pt>
                <c:pt idx="7">
                  <c:v>4.3807248108323855E-3</c:v>
                </c:pt>
                <c:pt idx="8">
                  <c:v>2.1434138737334262E-2</c:v>
                </c:pt>
                <c:pt idx="9">
                  <c:v>6.4527889172438957E-2</c:v>
                </c:pt>
                <c:pt idx="10">
                  <c:v>-2.5584795321636229E-3</c:v>
                </c:pt>
                <c:pt idx="11">
                  <c:v>4.4359063918966039E-2</c:v>
                </c:pt>
                <c:pt idx="12">
                  <c:v>3.7647058823529443E-2</c:v>
                </c:pt>
                <c:pt idx="13">
                  <c:v>0.11008076577924017</c:v>
                </c:pt>
              </c:numCache>
            </c:numRef>
          </c:val>
          <c:smooth val="0"/>
          <c:extLst>
            <c:ext xmlns:c16="http://schemas.microsoft.com/office/drawing/2014/chart" uri="{C3380CC4-5D6E-409C-BE32-E72D297353CC}">
              <c16:uniqueId val="{00000000-34E7-4D80-ACE2-E5C51F0650C4}"/>
            </c:ext>
          </c:extLst>
        </c:ser>
        <c:ser>
          <c:idx val="1"/>
          <c:order val="1"/>
          <c:tx>
            <c:strRef>
              <c:f>'model 1'!$A$14:$B$14</c:f>
              <c:strCache>
                <c:ptCount val="2"/>
                <c:pt idx="0">
                  <c:v>Average barrels of oil produced per day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'model 1'!$C$12:$P$12</c:f>
              <c:numCache>
                <c:formatCode>0</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'model 1'!$C$14:$P$14</c:f>
              <c:numCache>
                <c:formatCode>0.00%</c:formatCode>
                <c:ptCount val="14"/>
                <c:pt idx="0">
                  <c:v>9.7589653145208705E-2</c:v>
                </c:pt>
                <c:pt idx="1">
                  <c:v>-2.4081878386514148E-2</c:v>
                </c:pt>
                <c:pt idx="2">
                  <c:v>0.10070384407146725</c:v>
                </c:pt>
                <c:pt idx="3">
                  <c:v>3.802083333333333E-2</c:v>
                </c:pt>
                <c:pt idx="4">
                  <c:v>-1.0427528675703858E-3</c:v>
                </c:pt>
                <c:pt idx="5">
                  <c:v>3.0823648307225872E-2</c:v>
                </c:pt>
                <c:pt idx="6">
                  <c:v>6.3416942735447235E-2</c:v>
                </c:pt>
                <c:pt idx="7">
                  <c:v>-9.4251683065769032E-2</c:v>
                </c:pt>
                <c:pt idx="8">
                  <c:v>0.10435992578849722</c:v>
                </c:pt>
                <c:pt idx="9">
                  <c:v>6.4516129032258064E-3</c:v>
                </c:pt>
                <c:pt idx="10">
                  <c:v>-2.0696142991533398E-2</c:v>
                </c:pt>
                <c:pt idx="11">
                  <c:v>1.1162790697674419E-2</c:v>
                </c:pt>
                <c:pt idx="12">
                  <c:v>3.4575662325999103E-2</c:v>
                </c:pt>
                <c:pt idx="13">
                  <c:v>0.12939796716184518</c:v>
                </c:pt>
              </c:numCache>
            </c:numRef>
          </c:val>
          <c:smooth val="0"/>
          <c:extLst>
            <c:ext xmlns:c16="http://schemas.microsoft.com/office/drawing/2014/chart" uri="{C3380CC4-5D6E-409C-BE32-E72D297353CC}">
              <c16:uniqueId val="{00000001-34E7-4D80-ACE2-E5C51F0650C4}"/>
            </c:ext>
          </c:extLst>
        </c:ser>
        <c:dLbls>
          <c:showLegendKey val="0"/>
          <c:showVal val="0"/>
          <c:showCatName val="0"/>
          <c:showSerName val="0"/>
          <c:showPercent val="0"/>
          <c:showBubbleSize val="0"/>
        </c:dLbls>
        <c:marker val="1"/>
        <c:smooth val="0"/>
        <c:axId val="796809759"/>
        <c:axId val="796820575"/>
      </c:lineChart>
      <c:catAx>
        <c:axId val="79680975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96820575"/>
        <c:crosses val="autoZero"/>
        <c:auto val="1"/>
        <c:lblAlgn val="ctr"/>
        <c:lblOffset val="100"/>
        <c:noMultiLvlLbl val="0"/>
      </c:catAx>
      <c:valAx>
        <c:axId val="79682057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968097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39948434329518"/>
          <c:y val="4.5096272633276917E-2"/>
          <c:w val="0.8498485602977901"/>
          <c:h val="0.72021680452029713"/>
        </c:manualLayout>
      </c:layout>
      <c:lineChart>
        <c:grouping val="standard"/>
        <c:varyColors val="0"/>
        <c:ser>
          <c:idx val="0"/>
          <c:order val="0"/>
          <c:tx>
            <c:strRef>
              <c:f>Sheet1!$A$56</c:f>
              <c:strCache>
                <c:ptCount val="1"/>
                <c:pt idx="0">
                  <c:v>Deforestation</c:v>
                </c:pt>
              </c:strCache>
            </c:strRef>
          </c:tx>
          <c:spPr>
            <a:ln w="28575" cap="rnd">
              <a:solidFill>
                <a:schemeClr val="accent1"/>
              </a:solidFill>
              <a:round/>
            </a:ln>
            <a:effectLst/>
          </c:spPr>
          <c:marker>
            <c:symbol val="circle"/>
            <c:size val="6"/>
            <c:spPr>
              <a:solidFill>
                <a:schemeClr val="accent1"/>
              </a:solidFill>
              <a:ln w="9525">
                <a:solidFill>
                  <a:schemeClr val="accent1"/>
                </a:solidFill>
              </a:ln>
              <a:effectLst/>
            </c:spPr>
          </c:marker>
          <c:dLbls>
            <c:dLbl>
              <c:idx val="1"/>
              <c:layout>
                <c:manualLayout>
                  <c:x val="-4.1887661908299477E-2"/>
                  <c:y val="4.76448023709854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8D6-4818-B57D-3515DFA39A3F}"/>
                </c:ext>
              </c:extLst>
            </c:dLbl>
            <c:dLbl>
              <c:idx val="13"/>
              <c:layout>
                <c:manualLayout>
                  <c:x val="-3.7867352433116966E-2"/>
                  <c:y val="2.8398589669060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8D6-4818-B57D-3515DFA39A3F}"/>
                </c:ext>
              </c:extLst>
            </c:dLbl>
            <c:dLbl>
              <c:idx val="14"/>
              <c:layout>
                <c:manualLayout>
                  <c:x val="-4.3741824949814753E-2"/>
                  <c:y val="-3.29588951591150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8D6-4818-B57D-3515DFA39A3F}"/>
                </c:ext>
              </c:extLst>
            </c:dLbl>
            <c:dLbl>
              <c:idx val="15"/>
              <c:layout>
                <c:manualLayout>
                  <c:x val="-3.3721834638418123E-2"/>
                  <c:y val="-3.2321175841631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8D6-4818-B57D-3515DFA39A3F}"/>
                </c:ext>
              </c:extLst>
            </c:dLbl>
            <c:dLbl>
              <c:idx val="18"/>
              <c:layout>
                <c:manualLayout>
                  <c:x val="-4.1166380789022301E-2"/>
                  <c:y val="4.69483568075117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8D6-4818-B57D-3515DFA39A3F}"/>
                </c:ext>
              </c:extLst>
            </c:dLbl>
            <c:dLbl>
              <c:idx val="25"/>
              <c:layout>
                <c:manualLayout>
                  <c:x val="-1.1967903402371279E-2"/>
                  <c:y val="-4.76448023709855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8D6-4818-B57D-3515DFA39A3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Sheet1!$B$51:$AA$51</c:f>
              <c:numCache>
                <c:formatCode>General</c:formatCode>
                <c:ptCount val="26"/>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numCache>
            </c:numRef>
          </c:cat>
          <c:val>
            <c:numRef>
              <c:f>Sheet1!$B$56:$AA$56</c:f>
              <c:numCache>
                <c:formatCode>_(* #,##0.00_);_(* \(#,##0.00\);_(* "-"??_);_(@_)</c:formatCode>
                <c:ptCount val="26"/>
                <c:pt idx="0">
                  <c:v>1.1000111669999999</c:v>
                </c:pt>
                <c:pt idx="1">
                  <c:v>0.95417420500000005</c:v>
                </c:pt>
                <c:pt idx="2">
                  <c:v>1.116232041</c:v>
                </c:pt>
                <c:pt idx="3">
                  <c:v>1.1825071760000001</c:v>
                </c:pt>
                <c:pt idx="4">
                  <c:v>1.1829529110000001</c:v>
                </c:pt>
                <c:pt idx="5">
                  <c:v>2.0594190459999999</c:v>
                </c:pt>
                <c:pt idx="6">
                  <c:v>1.4220251230000001</c:v>
                </c:pt>
                <c:pt idx="7">
                  <c:v>1.136378007</c:v>
                </c:pt>
                <c:pt idx="8">
                  <c:v>1.37711213</c:v>
                </c:pt>
                <c:pt idx="9">
                  <c:v>1.3695515110000001</c:v>
                </c:pt>
                <c:pt idx="10">
                  <c:v>1.4276424569999999</c:v>
                </c:pt>
                <c:pt idx="11">
                  <c:v>1.3907068570000001</c:v>
                </c:pt>
                <c:pt idx="12">
                  <c:v>1.6292531429999999</c:v>
                </c:pt>
                <c:pt idx="13">
                  <c:v>2.8178347970000002</c:v>
                </c:pt>
                <c:pt idx="14">
                  <c:v>3.0018284249999998</c:v>
                </c:pt>
                <c:pt idx="15">
                  <c:v>2.319284567</c:v>
                </c:pt>
                <c:pt idx="16">
                  <c:v>1.9294989570000001</c:v>
                </c:pt>
                <c:pt idx="17">
                  <c:v>1.7320449060000001</c:v>
                </c:pt>
                <c:pt idx="18">
                  <c:v>1.8283779790000001</c:v>
                </c:pt>
                <c:pt idx="19">
                  <c:v>1.0379208040000001</c:v>
                </c:pt>
                <c:pt idx="20">
                  <c:v>0.89338892599999997</c:v>
                </c:pt>
                <c:pt idx="21">
                  <c:v>0.86343388099999996</c:v>
                </c:pt>
                <c:pt idx="22">
                  <c:v>0.79105651899999996</c:v>
                </c:pt>
                <c:pt idx="23">
                  <c:v>0.90715050500000005</c:v>
                </c:pt>
                <c:pt idx="24">
                  <c:v>0.79422216300000004</c:v>
                </c:pt>
                <c:pt idx="25">
                  <c:v>0.88412001399999995</c:v>
                </c:pt>
              </c:numCache>
            </c:numRef>
          </c:val>
          <c:smooth val="0"/>
          <c:extLst>
            <c:ext xmlns:c16="http://schemas.microsoft.com/office/drawing/2014/chart" uri="{C3380CC4-5D6E-409C-BE32-E72D297353CC}">
              <c16:uniqueId val="{00000005-D8D6-4818-B57D-3515DFA39A3F}"/>
            </c:ext>
          </c:extLst>
        </c:ser>
        <c:ser>
          <c:idx val="1"/>
          <c:order val="1"/>
          <c:tx>
            <c:strRef>
              <c:f>Sheet1!$A$57</c:f>
              <c:strCache>
                <c:ptCount val="1"/>
                <c:pt idx="0">
                  <c:v>Total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3.5482453492142407E-2"/>
                  <c:y val="-3.2555300575428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8D6-4818-B57D-3515DFA39A3F}"/>
                </c:ext>
              </c:extLst>
            </c:dLbl>
            <c:dLbl>
              <c:idx val="13"/>
              <c:layout>
                <c:manualLayout>
                  <c:x val="-5.3223680238213611E-2"/>
                  <c:y val="-2.17035337169523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8D6-4818-B57D-3515DFA39A3F}"/>
                </c:ext>
              </c:extLst>
            </c:dLbl>
            <c:dLbl>
              <c:idx val="14"/>
              <c:layout>
                <c:manualLayout>
                  <c:x val="-3.1539958659682142E-2"/>
                  <c:y val="-2.53207893364443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8D6-4818-B57D-3515DFA39A3F}"/>
                </c:ext>
              </c:extLst>
            </c:dLbl>
            <c:dLbl>
              <c:idx val="15"/>
              <c:layout>
                <c:manualLayout>
                  <c:x val="-1.5769979329841071E-2"/>
                  <c:y val="-1.80862780974602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8D6-4818-B57D-3515DFA39A3F}"/>
                </c:ext>
              </c:extLst>
            </c:dLbl>
            <c:dLbl>
              <c:idx val="18"/>
              <c:layout>
                <c:manualLayout>
                  <c:x val="-2.5157232704402517E-2"/>
                  <c:y val="-4.69483568075117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8D6-4818-B57D-3515DFA39A3F}"/>
                </c:ext>
              </c:extLst>
            </c:dLbl>
            <c:dLbl>
              <c:idx val="2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8D6-4818-B57D-3515DFA39A3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Sheet1!$B$51:$AA$51</c:f>
              <c:numCache>
                <c:formatCode>General</c:formatCode>
                <c:ptCount val="26"/>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numCache>
            </c:numRef>
          </c:cat>
          <c:val>
            <c:numRef>
              <c:f>Sheet1!$B$57:$AA$57</c:f>
              <c:numCache>
                <c:formatCode>_(* #,##0.00_);_(* \(#,##0.00\);_(* "-"??_);_(@_)</c:formatCode>
                <c:ptCount val="26"/>
                <c:pt idx="0">
                  <c:v>1.654188175</c:v>
                </c:pt>
                <c:pt idx="1">
                  <c:v>1.5296630609999999</c:v>
                </c:pt>
                <c:pt idx="2">
                  <c:v>1.7017246370000001</c:v>
                </c:pt>
                <c:pt idx="3">
                  <c:v>1.7808527860000001</c:v>
                </c:pt>
                <c:pt idx="4">
                  <c:v>1.7991137319999999</c:v>
                </c:pt>
                <c:pt idx="5">
                  <c:v>2.7032531839999998</c:v>
                </c:pt>
                <c:pt idx="6">
                  <c:v>2.074849671</c:v>
                </c:pt>
                <c:pt idx="7">
                  <c:v>1.814155553</c:v>
                </c:pt>
                <c:pt idx="8">
                  <c:v>2.072530242</c:v>
                </c:pt>
                <c:pt idx="9">
                  <c:v>2.0814147900000002</c:v>
                </c:pt>
                <c:pt idx="10">
                  <c:v>2.1609178519999999</c:v>
                </c:pt>
                <c:pt idx="11">
                  <c:v>2.1431473489999999</c:v>
                </c:pt>
                <c:pt idx="12">
                  <c:v>2.398060343</c:v>
                </c:pt>
                <c:pt idx="13">
                  <c:v>3.6031068479999999</c:v>
                </c:pt>
                <c:pt idx="14">
                  <c:v>3.8245516500000001</c:v>
                </c:pt>
                <c:pt idx="15">
                  <c:v>3.1587103590000001</c:v>
                </c:pt>
                <c:pt idx="16">
                  <c:v>2.7746402639999999</c:v>
                </c:pt>
                <c:pt idx="17">
                  <c:v>2.5866204150000001</c:v>
                </c:pt>
                <c:pt idx="18">
                  <c:v>2.709540928</c:v>
                </c:pt>
                <c:pt idx="19">
                  <c:v>1.905999121</c:v>
                </c:pt>
                <c:pt idx="20">
                  <c:v>1.8250939859999999</c:v>
                </c:pt>
                <c:pt idx="21">
                  <c:v>1.8276361640000001</c:v>
                </c:pt>
                <c:pt idx="22">
                  <c:v>1.784253095</c:v>
                </c:pt>
                <c:pt idx="23">
                  <c:v>1.9400422930000001</c:v>
                </c:pt>
                <c:pt idx="24">
                  <c:v>1.861600312</c:v>
                </c:pt>
                <c:pt idx="25">
                  <c:v>1.9276816729999999</c:v>
                </c:pt>
              </c:numCache>
            </c:numRef>
          </c:val>
          <c:smooth val="0"/>
          <c:extLst>
            <c:ext xmlns:c16="http://schemas.microsoft.com/office/drawing/2014/chart" uri="{C3380CC4-5D6E-409C-BE32-E72D297353CC}">
              <c16:uniqueId val="{0000000B-D8D6-4818-B57D-3515DFA39A3F}"/>
            </c:ext>
          </c:extLst>
        </c:ser>
        <c:dLbls>
          <c:showLegendKey val="0"/>
          <c:showVal val="0"/>
          <c:showCatName val="0"/>
          <c:showSerName val="0"/>
          <c:showPercent val="0"/>
          <c:showBubbleSize val="0"/>
        </c:dLbls>
        <c:marker val="1"/>
        <c:smooth val="0"/>
        <c:axId val="531566592"/>
        <c:axId val="531560688"/>
      </c:lineChart>
      <c:catAx>
        <c:axId val="5315665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1560688"/>
        <c:crosses val="autoZero"/>
        <c:auto val="1"/>
        <c:lblAlgn val="ctr"/>
        <c:lblOffset val="100"/>
        <c:noMultiLvlLbl val="0"/>
      </c:catAx>
      <c:valAx>
        <c:axId val="531560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50"/>
                  <a:t>GtCO2eq</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1566592"/>
        <c:crosses val="autoZero"/>
        <c:crossBetween val="between"/>
      </c:valAx>
      <c:spPr>
        <a:noFill/>
        <a:ln>
          <a:noFill/>
        </a:ln>
        <a:effectLst/>
      </c:spPr>
    </c:plotArea>
    <c:legend>
      <c:legendPos val="r"/>
      <c:layout>
        <c:manualLayout>
          <c:xMode val="edge"/>
          <c:yMode val="edge"/>
          <c:x val="0.26304827447628343"/>
          <c:y val="0.8740761034016753"/>
          <c:w val="0.56297337622116539"/>
          <c:h val="0.1149715552565813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rot="-5400000" vert="horz"/>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Sheet1!$A$35</c:f>
              <c:strCache>
                <c:ptCount val="1"/>
                <c:pt idx="0">
                  <c:v>Energy/Fossil Fuel</c:v>
                </c:pt>
              </c:strCache>
            </c:strRef>
          </c:tx>
          <c:spPr>
            <a:solidFill>
              <a:schemeClr val="bg2">
                <a:lumMod val="75000"/>
              </a:schemeClr>
            </a:solidFill>
            <a:ln>
              <a:noFill/>
            </a:ln>
            <a:effectLst/>
            <a:sp3d/>
          </c:spPr>
          <c:invertIfNegative val="0"/>
          <c:dLbls>
            <c:dLbl>
              <c:idx val="0"/>
              <c:tx>
                <c:rich>
                  <a:bodyPr/>
                  <a:lstStyle/>
                  <a:p>
                    <a:fld id="{AA336983-EFF0-45E5-8447-931471C13549}"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{AA336983-EFF0-45E5-8447-931471C13549}</c15:txfldGUID>
                      <c15:f>Sheet1!$B$43</c15:f>
                      <c15:dlblFieldTableCache>
                        <c:ptCount val="1"/>
                        <c:pt idx="0">
                          <c:v>11%</c:v>
                        </c:pt>
                      </c15:dlblFieldTableCache>
                    </c15:dlblFTEntry>
                  </c15:dlblFieldTable>
                  <c15:showDataLabelsRange val="0"/>
                </c:ext>
                <c:ext xmlns:c16="http://schemas.microsoft.com/office/drawing/2014/chart" uri="{C3380CC4-5D6E-409C-BE32-E72D297353CC}">
                  <c16:uniqueId val="{00000000-F1A6-4561-9009-3F036699E408}"/>
                </c:ext>
              </c:extLst>
            </c:dLbl>
            <c:dLbl>
              <c:idx val="1"/>
              <c:tx>
                <c:rich>
                  <a:bodyPr/>
                  <a:lstStyle/>
                  <a:p>
                    <a:fld id="{9322EDD7-E7F4-4E64-9FF8-FAE81F32F9F0}"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{9322EDD7-E7F4-4E64-9FF8-FAE81F32F9F0}</c15:txfldGUID>
                      <c15:f>Sheet1!$C$43</c15:f>
                      <c15:dlblFieldTableCache>
                        <c:ptCount val="1"/>
                        <c:pt idx="0">
                          <c:v>14%</c:v>
                        </c:pt>
                      </c15:dlblFieldTableCache>
                    </c15:dlblFTEntry>
                  </c15:dlblFieldTable>
                  <c15:showDataLabelsRange val="0"/>
                </c:ext>
                <c:ext xmlns:c16="http://schemas.microsoft.com/office/drawing/2014/chart" uri="{C3380CC4-5D6E-409C-BE32-E72D297353CC}">
                  <c16:uniqueId val="{00000001-F1A6-4561-9009-3F036699E408}"/>
                </c:ext>
              </c:extLst>
            </c:dLbl>
            <c:dLbl>
              <c:idx val="2"/>
              <c:tx>
                <c:rich>
                  <a:bodyPr/>
                  <a:lstStyle/>
                  <a:p>
                    <a:fld id="{660DB668-3F62-4EB1-B2A8-5B80968EB357}"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{660DB668-3F62-4EB1-B2A8-5B80968EB357}</c15:txfldGUID>
                      <c15:f>Sheet1!$D$43</c15:f>
                      <c15:dlblFieldTableCache>
                        <c:ptCount val="1"/>
                        <c:pt idx="0">
                          <c:v>17%</c:v>
                        </c:pt>
                      </c15:dlblFieldTableCache>
                    </c15:dlblFTEntry>
                  </c15:dlblFieldTable>
                  <c15:showDataLabelsRange val="0"/>
                </c:ext>
                <c:ext xmlns:c16="http://schemas.microsoft.com/office/drawing/2014/chart" uri="{C3380CC4-5D6E-409C-BE32-E72D297353CC}">
                  <c16:uniqueId val="{00000002-F1A6-4561-9009-3F036699E408}"/>
                </c:ext>
              </c:extLst>
            </c:dLbl>
            <c:dLbl>
              <c:idx val="3"/>
              <c:tx>
                <c:rich>
                  <a:bodyPr/>
                  <a:lstStyle/>
                  <a:p>
                    <a:fld id="{4ACF37FC-AB81-4998-993A-BA36D5621400}"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{4ACF37FC-AB81-4998-993A-BA36D5621400}</c15:txfldGUID>
                      <c15:f>Sheet1!$E$43</c15:f>
                      <c15:dlblFieldTableCache>
                        <c:ptCount val="1"/>
                        <c:pt idx="0">
                          <c:v>19%</c:v>
                        </c:pt>
                      </c15:dlblFieldTableCache>
                    </c15:dlblFTEntry>
                  </c15:dlblFieldTable>
                  <c15:showDataLabelsRange val="0"/>
                </c:ext>
                <c:ext xmlns:c16="http://schemas.microsoft.com/office/drawing/2014/chart" uri="{C3380CC4-5D6E-409C-BE32-E72D297353CC}">
                  <c16:uniqueId val="{00000003-F1A6-4561-9009-3F036699E408}"/>
                </c:ext>
              </c:extLst>
            </c:dLbl>
            <c:dLbl>
              <c:idx val="4"/>
              <c:tx>
                <c:rich>
                  <a:bodyPr/>
                  <a:lstStyle/>
                  <a:p>
                    <a:fld id="{C885E512-96CA-400E-B7E2-250BED7986B8}"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{C885E512-96CA-400E-B7E2-250BED7986B8}</c15:txfldGUID>
                      <c15:f>Sheet1!$F$43</c15:f>
                      <c15:dlblFieldTableCache>
                        <c:ptCount val="1"/>
                        <c:pt idx="0">
                          <c:v>22%</c:v>
                        </c:pt>
                      </c15:dlblFieldTableCache>
                    </c15:dlblFTEntry>
                  </c15:dlblFieldTable>
                  <c15:showDataLabelsRange val="0"/>
                </c:ext>
                <c:ext xmlns:c16="http://schemas.microsoft.com/office/drawing/2014/chart" uri="{C3380CC4-5D6E-409C-BE32-E72D297353CC}">
                  <c16:uniqueId val="{00000004-F1A6-4561-9009-3F036699E408}"/>
                </c:ext>
              </c:extLst>
            </c:dLbl>
            <c:dLbl>
              <c:idx val="5"/>
              <c:tx>
                <c:rich>
                  <a:bodyPr/>
                  <a:lstStyle/>
                  <a:p>
                    <a:fld id="{34B8C78C-8A25-405A-808F-C49604703DA5}"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{34B8C78C-8A25-405A-808F-C49604703DA5}</c15:txfldGUID>
                      <c15:f>Sheet1!$G$43</c15:f>
                      <c15:dlblFieldTableCache>
                        <c:ptCount val="1"/>
                        <c:pt idx="0">
                          <c:v>27%</c:v>
                        </c:pt>
                      </c15:dlblFieldTableCache>
                    </c15:dlblFTEntry>
                  </c15:dlblFieldTable>
                  <c15:showDataLabelsRange val="0"/>
                </c:ext>
                <c:ext xmlns:c16="http://schemas.microsoft.com/office/drawing/2014/chart" uri="{C3380CC4-5D6E-409C-BE32-E72D297353CC}">
                  <c16:uniqueId val="{00000005-F1A6-4561-9009-3F036699E40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Sheet1!$B$34:$G$34</c:f>
              <c:numCache>
                <c:formatCode>General</c:formatCode>
                <c:ptCount val="6"/>
                <c:pt idx="0">
                  <c:v>1990</c:v>
                </c:pt>
                <c:pt idx="1">
                  <c:v>1995</c:v>
                </c:pt>
                <c:pt idx="2">
                  <c:v>2000</c:v>
                </c:pt>
                <c:pt idx="3">
                  <c:v>2005</c:v>
                </c:pt>
                <c:pt idx="4">
                  <c:v>2010</c:v>
                </c:pt>
                <c:pt idx="5">
                  <c:v>2015</c:v>
                </c:pt>
              </c:numCache>
            </c:numRef>
          </c:cat>
          <c:val>
            <c:numRef>
              <c:f>Sheet1!$B$35:$G$35</c:f>
              <c:numCache>
                <c:formatCode>_(* #,##0.00_);_(* \(#,##0.00\);_(* "-"??_);_(@_)</c:formatCode>
                <c:ptCount val="6"/>
                <c:pt idx="0">
                  <c:v>0.18964069</c:v>
                </c:pt>
                <c:pt idx="1">
                  <c:v>0.228113432</c:v>
                </c:pt>
                <c:pt idx="2">
                  <c:v>0.28733138699999999</c:v>
                </c:pt>
                <c:pt idx="3">
                  <c:v>0.31387822599999998</c:v>
                </c:pt>
                <c:pt idx="4">
                  <c:v>0.37085236999999999</c:v>
                </c:pt>
                <c:pt idx="5">
                  <c:v>0.45424766999999999</c:v>
                </c:pt>
              </c:numCache>
            </c:numRef>
          </c:val>
          <c:extLst>
            <c:ext xmlns:c16="http://schemas.microsoft.com/office/drawing/2014/chart" uri="{C3380CC4-5D6E-409C-BE32-E72D297353CC}">
              <c16:uniqueId val="{00000006-F1A6-4561-9009-3F036699E408}"/>
            </c:ext>
          </c:extLst>
        </c:ser>
        <c:ser>
          <c:idx val="1"/>
          <c:order val="1"/>
          <c:tx>
            <c:strRef>
              <c:f>Sheet1!$A$36</c:f>
              <c:strCache>
                <c:ptCount val="1"/>
                <c:pt idx="0">
                  <c:v>Agriculture/Livestock</c:v>
                </c:pt>
              </c:strCache>
            </c:strRef>
          </c:tx>
          <c:spPr>
            <a:solidFill>
              <a:schemeClr val="accent2">
                <a:lumMod val="75000"/>
              </a:schemeClr>
            </a:solidFill>
            <a:ln>
              <a:noFill/>
            </a:ln>
            <a:effectLst/>
            <a:sp3d/>
          </c:spPr>
          <c:invertIfNegative val="0"/>
          <c:dLbls>
            <c:dLbl>
              <c:idx val="0"/>
              <c:tx>
                <c:rich>
                  <a:bodyPr/>
                  <a:lstStyle/>
                  <a:p>
                    <a:fld id="{DD244BAF-EEF2-43C6-BAC8-B92EF0E93C39}"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{DD244BAF-EEF2-43C6-BAC8-B92EF0E93C39}</c15:txfldGUID>
                      <c15:f>Sheet1!$B$44</c15:f>
                      <c15:dlblFieldTableCache>
                        <c:ptCount val="1"/>
                        <c:pt idx="0">
                          <c:v>17%</c:v>
                        </c:pt>
                      </c15:dlblFieldTableCache>
                    </c15:dlblFTEntry>
                  </c15:dlblFieldTable>
                  <c15:showDataLabelsRange val="0"/>
                </c:ext>
                <c:ext xmlns:c16="http://schemas.microsoft.com/office/drawing/2014/chart" uri="{C3380CC4-5D6E-409C-BE32-E72D297353CC}">
                  <c16:uniqueId val="{00000007-F1A6-4561-9009-3F036699E408}"/>
                </c:ext>
              </c:extLst>
            </c:dLbl>
            <c:dLbl>
              <c:idx val="1"/>
              <c:tx>
                <c:rich>
                  <a:bodyPr/>
                  <a:lstStyle/>
                  <a:p>
                    <a:fld id="{BC0D863C-08B9-43F5-BA33-67CB31E0AC41}"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{BC0D863C-08B9-43F5-BA33-67CB31E0AC41}</c15:txfldGUID>
                      <c15:f>Sheet1!$C$44</c15:f>
                      <c15:dlblFieldTableCache>
                        <c:ptCount val="1"/>
                        <c:pt idx="0">
                          <c:v>12%</c:v>
                        </c:pt>
                      </c15:dlblFieldTableCache>
                    </c15:dlblFTEntry>
                  </c15:dlblFieldTable>
                  <c15:showDataLabelsRange val="0"/>
                </c:ext>
                <c:ext xmlns:c16="http://schemas.microsoft.com/office/drawing/2014/chart" uri="{C3380CC4-5D6E-409C-BE32-E72D297353CC}">
                  <c16:uniqueId val="{00000008-F1A6-4561-9009-3F036699E408}"/>
                </c:ext>
              </c:extLst>
            </c:dLbl>
            <c:dLbl>
              <c:idx val="2"/>
              <c:tx>
                <c:rich>
                  <a:bodyPr/>
                  <a:lstStyle/>
                  <a:p>
                    <a:fld id="{3B7FAF46-DDA2-4084-9E58-26246C54D9E5}"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{3B7FAF46-DDA2-4084-9E58-26246C54D9E5}</c15:txfldGUID>
                      <c15:f>Sheet1!$D$44</c15:f>
                      <c15:dlblFieldTableCache>
                        <c:ptCount val="1"/>
                        <c:pt idx="0">
                          <c:v>15%</c:v>
                        </c:pt>
                      </c15:dlblFieldTableCache>
                    </c15:dlblFTEntry>
                  </c15:dlblFieldTable>
                  <c15:showDataLabelsRange val="0"/>
                </c:ext>
                <c:ext xmlns:c16="http://schemas.microsoft.com/office/drawing/2014/chart" uri="{C3380CC4-5D6E-409C-BE32-E72D297353CC}">
                  <c16:uniqueId val="{00000009-F1A6-4561-9009-3F036699E408}"/>
                </c:ext>
              </c:extLst>
            </c:dLbl>
            <c:dLbl>
              <c:idx val="3"/>
              <c:tx>
                <c:rich>
                  <a:bodyPr/>
                  <a:lstStyle/>
                  <a:p>
                    <a:fld id="{6ADD749F-2955-4C6C-B8F7-38286B6E4604}"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{6ADD749F-2955-4C6C-B8F7-38286B6E4604}</c15:txfldGUID>
                      <c15:f>Sheet1!$E$43</c15:f>
                      <c15:dlblFieldTableCache>
                        <c:ptCount val="1"/>
                        <c:pt idx="0">
                          <c:v>19%</c:v>
                        </c:pt>
                      </c15:dlblFieldTableCache>
                    </c15:dlblFTEntry>
                  </c15:dlblFieldTable>
                  <c15:showDataLabelsRange val="0"/>
                </c:ext>
                <c:ext xmlns:c16="http://schemas.microsoft.com/office/drawing/2014/chart" uri="{C3380CC4-5D6E-409C-BE32-E72D297353CC}">
                  <c16:uniqueId val="{0000000A-F1A6-4561-9009-3F036699E408}"/>
                </c:ext>
              </c:extLst>
            </c:dLbl>
            <c:dLbl>
              <c:idx val="4"/>
              <c:tx>
                <c:rich>
                  <a:bodyPr/>
                  <a:lstStyle/>
                  <a:p>
                    <a:fld id="{EA0DD3A9-E943-4CDA-873B-DAED879F4F5E}"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{EA0DD3A9-E943-4CDA-873B-DAED879F4F5E}</c15:txfldGUID>
                      <c15:f>Sheet1!$F$43</c15:f>
                      <c15:dlblFieldTableCache>
                        <c:ptCount val="1"/>
                        <c:pt idx="0">
                          <c:v>22%</c:v>
                        </c:pt>
                      </c15:dlblFieldTableCache>
                    </c15:dlblFTEntry>
                  </c15:dlblFieldTable>
                  <c15:showDataLabelsRange val="0"/>
                </c:ext>
                <c:ext xmlns:c16="http://schemas.microsoft.com/office/drawing/2014/chart" uri="{C3380CC4-5D6E-409C-BE32-E72D297353CC}">
                  <c16:uniqueId val="{0000000B-F1A6-4561-9009-3F036699E408}"/>
                </c:ext>
              </c:extLst>
            </c:dLbl>
            <c:dLbl>
              <c:idx val="5"/>
              <c:tx>
                <c:rich>
                  <a:bodyPr/>
                  <a:lstStyle/>
                  <a:p>
                    <a:fld id="{9364CAEF-B58F-4C54-810B-B831580C77EE}"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{9364CAEF-B58F-4C54-810B-B831580C77EE}</c15:txfldGUID>
                      <c15:f>Sheet1!$G$43</c15:f>
                      <c15:dlblFieldTableCache>
                        <c:ptCount val="1"/>
                        <c:pt idx="0">
                          <c:v>27%</c:v>
                        </c:pt>
                      </c15:dlblFieldTableCache>
                    </c15:dlblFTEntry>
                  </c15:dlblFieldTable>
                  <c15:showDataLabelsRange val="0"/>
                </c:ext>
                <c:ext xmlns:c16="http://schemas.microsoft.com/office/drawing/2014/chart" uri="{C3380CC4-5D6E-409C-BE32-E72D297353CC}">
                  <c16:uniqueId val="{0000000C-F1A6-4561-9009-3F036699E40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Sheet1!$B$34:$G$34</c:f>
              <c:numCache>
                <c:formatCode>General</c:formatCode>
                <c:ptCount val="6"/>
                <c:pt idx="0">
                  <c:v>1990</c:v>
                </c:pt>
                <c:pt idx="1">
                  <c:v>1995</c:v>
                </c:pt>
                <c:pt idx="2">
                  <c:v>2000</c:v>
                </c:pt>
                <c:pt idx="3">
                  <c:v>2005</c:v>
                </c:pt>
                <c:pt idx="4">
                  <c:v>2010</c:v>
                </c:pt>
                <c:pt idx="5">
                  <c:v>2015</c:v>
                </c:pt>
              </c:numCache>
            </c:numRef>
          </c:cat>
          <c:val>
            <c:numRef>
              <c:f>Sheet1!$B$36:$G$36</c:f>
              <c:numCache>
                <c:formatCode>_(* #,##0.00_);_(* \(#,##0.00\);_(* "-"??_);_(@_)</c:formatCode>
                <c:ptCount val="6"/>
                <c:pt idx="0">
                  <c:v>0.28696280299999999</c:v>
                </c:pt>
                <c:pt idx="1">
                  <c:v>0.316487613</c:v>
                </c:pt>
                <c:pt idx="2">
                  <c:v>0.327908739</c:v>
                </c:pt>
                <c:pt idx="3">
                  <c:v>0.39204187899999998</c:v>
                </c:pt>
                <c:pt idx="4">
                  <c:v>0.40645187700000002</c:v>
                </c:pt>
                <c:pt idx="5">
                  <c:v>0.42549910899999999</c:v>
                </c:pt>
              </c:numCache>
            </c:numRef>
          </c:val>
          <c:extLst>
            <c:ext xmlns:c16="http://schemas.microsoft.com/office/drawing/2014/chart" uri="{C3380CC4-5D6E-409C-BE32-E72D297353CC}">
              <c16:uniqueId val="{0000000D-F1A6-4561-9009-3F036699E408}"/>
            </c:ext>
          </c:extLst>
        </c:ser>
        <c:ser>
          <c:idx val="2"/>
          <c:order val="2"/>
          <c:tx>
            <c:strRef>
              <c:f>Sheet1!$A$37</c:f>
              <c:strCache>
                <c:ptCount val="1"/>
                <c:pt idx="0">
                  <c:v>Industrial process</c:v>
                </c:pt>
              </c:strCache>
            </c:strRef>
          </c:tx>
          <c:spPr>
            <a:solidFill>
              <a:schemeClr val="bg2">
                <a:lumMod val="10000"/>
              </a:schemeClr>
            </a:solidFill>
            <a:ln>
              <a:noFill/>
            </a:ln>
            <a:effectLst/>
            <a:sp3d/>
          </c:spPr>
          <c:invertIfNegative val="0"/>
          <c:cat>
            <c:numRef>
              <c:f>Sheet1!$B$34:$G$34</c:f>
              <c:numCache>
                <c:formatCode>General</c:formatCode>
                <c:ptCount val="6"/>
                <c:pt idx="0">
                  <c:v>1990</c:v>
                </c:pt>
                <c:pt idx="1">
                  <c:v>1995</c:v>
                </c:pt>
                <c:pt idx="2">
                  <c:v>2000</c:v>
                </c:pt>
                <c:pt idx="3">
                  <c:v>2005</c:v>
                </c:pt>
                <c:pt idx="4">
                  <c:v>2010</c:v>
                </c:pt>
                <c:pt idx="5">
                  <c:v>2015</c:v>
                </c:pt>
              </c:numCache>
            </c:numRef>
          </c:cat>
          <c:val>
            <c:numRef>
              <c:f>Sheet1!$B$37:$G$37</c:f>
              <c:numCache>
                <c:formatCode>_(* #,##0.00_);_(* \(#,##0.00\);_(* "-"??_);_(@_)</c:formatCode>
                <c:ptCount val="6"/>
                <c:pt idx="0">
                  <c:v>5.1486817999999997E-2</c:v>
                </c:pt>
                <c:pt idx="1">
                  <c:v>6.4922575999999996E-2</c:v>
                </c:pt>
                <c:pt idx="2">
                  <c:v>7.4712015000000007E-2</c:v>
                </c:pt>
                <c:pt idx="3">
                  <c:v>8.1015390000000007E-2</c:v>
                </c:pt>
                <c:pt idx="4">
                  <c:v>9.4629890999999994E-2</c:v>
                </c:pt>
                <c:pt idx="5">
                  <c:v>9.9461227999999999E-2</c:v>
                </c:pt>
              </c:numCache>
            </c:numRef>
          </c:val>
          <c:extLst>
            <c:ext xmlns:c16="http://schemas.microsoft.com/office/drawing/2014/chart" uri="{C3380CC4-5D6E-409C-BE32-E72D297353CC}">
              <c16:uniqueId val="{0000000E-F1A6-4561-9009-3F036699E408}"/>
            </c:ext>
          </c:extLst>
        </c:ser>
        <c:ser>
          <c:idx val="3"/>
          <c:order val="3"/>
          <c:tx>
            <c:strRef>
              <c:f>Sheet1!$A$38</c:f>
              <c:strCache>
                <c:ptCount val="1"/>
                <c:pt idx="0">
                  <c:v>Waste</c:v>
                </c:pt>
              </c:strCache>
            </c:strRef>
          </c:tx>
          <c:spPr>
            <a:solidFill>
              <a:schemeClr val="accent4"/>
            </a:solidFill>
            <a:ln>
              <a:noFill/>
            </a:ln>
            <a:effectLst/>
            <a:sp3d/>
          </c:spPr>
          <c:invertIfNegative val="0"/>
          <c:cat>
            <c:numRef>
              <c:f>Sheet1!$B$34:$G$34</c:f>
              <c:numCache>
                <c:formatCode>General</c:formatCode>
                <c:ptCount val="6"/>
                <c:pt idx="0">
                  <c:v>1990</c:v>
                </c:pt>
                <c:pt idx="1">
                  <c:v>1995</c:v>
                </c:pt>
                <c:pt idx="2">
                  <c:v>2000</c:v>
                </c:pt>
                <c:pt idx="3">
                  <c:v>2005</c:v>
                </c:pt>
                <c:pt idx="4">
                  <c:v>2010</c:v>
                </c:pt>
                <c:pt idx="5">
                  <c:v>2015</c:v>
                </c:pt>
              </c:numCache>
            </c:numRef>
          </c:cat>
          <c:val>
            <c:numRef>
              <c:f>Sheet1!$B$38:$G$38</c:f>
              <c:numCache>
                <c:formatCode>_(* #,##0.00_);_(* \(#,##0.00\);_(* "-"??_);_(@_)</c:formatCode>
                <c:ptCount val="6"/>
                <c:pt idx="0">
                  <c:v>2.6086696999999999E-2</c:v>
                </c:pt>
                <c:pt idx="1">
                  <c:v>3.4310516999999999E-2</c:v>
                </c:pt>
                <c:pt idx="2">
                  <c:v>4.3323253999999999E-2</c:v>
                </c:pt>
                <c:pt idx="3">
                  <c:v>5.2490296999999998E-2</c:v>
                </c:pt>
                <c:pt idx="4">
                  <c:v>5.9770921999999997E-2</c:v>
                </c:pt>
                <c:pt idx="5">
                  <c:v>6.4353651999999997E-2</c:v>
                </c:pt>
              </c:numCache>
            </c:numRef>
          </c:val>
          <c:extLst>
            <c:ext xmlns:c16="http://schemas.microsoft.com/office/drawing/2014/chart" uri="{C3380CC4-5D6E-409C-BE32-E72D297353CC}">
              <c16:uniqueId val="{0000000F-F1A6-4561-9009-3F036699E408}"/>
            </c:ext>
          </c:extLst>
        </c:ser>
        <c:ser>
          <c:idx val="4"/>
          <c:order val="4"/>
          <c:tx>
            <c:strRef>
              <c:f>Sheet1!$A$39</c:f>
              <c:strCache>
                <c:ptCount val="1"/>
                <c:pt idx="0">
                  <c:v>Deforestation</c:v>
                </c:pt>
              </c:strCache>
            </c:strRef>
          </c:tx>
          <c:spPr>
            <a:solidFill>
              <a:schemeClr val="accent3"/>
            </a:solidFill>
            <a:ln>
              <a:noFill/>
            </a:ln>
            <a:effectLst/>
            <a:sp3d/>
          </c:spPr>
          <c:invertIfNegative val="0"/>
          <c:dLbls>
            <c:dLbl>
              <c:idx val="0"/>
              <c:tx>
                <c:rich>
                  <a:bodyPr/>
                  <a:lstStyle/>
                  <a:p>
                    <a:fld id="{9657ADBD-440B-453F-A10B-1379BACE8D69}"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{9657ADBD-440B-453F-A10B-1379BACE8D69}</c15:txfldGUID>
                      <c15:f>Sheet1!$B$47</c15:f>
                      <c15:dlblFieldTableCache>
                        <c:ptCount val="1"/>
                        <c:pt idx="0">
                          <c:v>66%</c:v>
                        </c:pt>
                      </c15:dlblFieldTableCache>
                    </c15:dlblFTEntry>
                  </c15:dlblFieldTable>
                  <c15:showDataLabelsRange val="0"/>
                </c:ext>
                <c:ext xmlns:c16="http://schemas.microsoft.com/office/drawing/2014/chart" uri="{C3380CC4-5D6E-409C-BE32-E72D297353CC}">
                  <c16:uniqueId val="{00000010-F1A6-4561-9009-3F036699E408}"/>
                </c:ext>
              </c:extLst>
            </c:dLbl>
            <c:dLbl>
              <c:idx val="1"/>
              <c:tx>
                <c:rich>
                  <a:bodyPr/>
                  <a:lstStyle/>
                  <a:p>
                    <a:fld id="{FBDD36A7-8D1C-418F-A45F-8461EAB46A07}"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{FBDD36A7-8D1C-418F-A45F-8461EAB46A07}</c15:txfldGUID>
                      <c15:f>Sheet1!$C$47</c15:f>
                      <c15:dlblFieldTableCache>
                        <c:ptCount val="1"/>
                        <c:pt idx="0">
                          <c:v>76%</c:v>
                        </c:pt>
                      </c15:dlblFieldTableCache>
                    </c15:dlblFTEntry>
                  </c15:dlblFieldTable>
                  <c15:showDataLabelsRange val="0"/>
                </c:ext>
                <c:ext xmlns:c16="http://schemas.microsoft.com/office/drawing/2014/chart" uri="{C3380CC4-5D6E-409C-BE32-E72D297353CC}">
                  <c16:uniqueId val="{00000011-F1A6-4561-9009-3F036699E408}"/>
                </c:ext>
              </c:extLst>
            </c:dLbl>
            <c:dLbl>
              <c:idx val="2"/>
              <c:tx>
                <c:rich>
                  <a:bodyPr/>
                  <a:lstStyle/>
                  <a:p>
                    <a:fld id="{4E6194D2-71C1-4505-8B1A-17B1034773A9}"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{4E6194D2-71C1-4505-8B1A-17B1034773A9}</c15:txfldGUID>
                      <c15:f>Sheet1!$D$47</c15:f>
                      <c15:dlblFieldTableCache>
                        <c:ptCount val="1"/>
                        <c:pt idx="0">
                          <c:v>66%</c:v>
                        </c:pt>
                      </c15:dlblFieldTableCache>
                    </c15:dlblFTEntry>
                  </c15:dlblFieldTable>
                  <c15:showDataLabelsRange val="0"/>
                </c:ext>
                <c:ext xmlns:c16="http://schemas.microsoft.com/office/drawing/2014/chart" uri="{C3380CC4-5D6E-409C-BE32-E72D297353CC}">
                  <c16:uniqueId val="{00000012-F1A6-4561-9009-3F036699E408}"/>
                </c:ext>
              </c:extLst>
            </c:dLbl>
            <c:dLbl>
              <c:idx val="3"/>
              <c:tx>
                <c:rich>
                  <a:bodyPr/>
                  <a:lstStyle/>
                  <a:p>
                    <a:fld id="{958682F7-660A-4D5C-A8FC-985E10E49402}"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{958682F7-660A-4D5C-A8FC-985E10E49402}</c15:txfldGUID>
                      <c15:f>Sheet1!$E$47</c15:f>
                      <c15:dlblFieldTableCache>
                        <c:ptCount val="1"/>
                        <c:pt idx="0">
                          <c:v>73%</c:v>
                        </c:pt>
                      </c15:dlblFieldTableCache>
                    </c15:dlblFTEntry>
                  </c15:dlblFieldTable>
                  <c15:showDataLabelsRange val="0"/>
                </c:ext>
                <c:ext xmlns:c16="http://schemas.microsoft.com/office/drawing/2014/chart" uri="{C3380CC4-5D6E-409C-BE32-E72D297353CC}">
                  <c16:uniqueId val="{00000013-F1A6-4561-9009-3F036699E408}"/>
                </c:ext>
              </c:extLst>
            </c:dLbl>
            <c:dLbl>
              <c:idx val="4"/>
              <c:tx>
                <c:rich>
                  <a:bodyPr/>
                  <a:lstStyle/>
                  <a:p>
                    <a:fld id="{18A09CE3-1D60-4077-9ED2-A296F9FA8169}"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{18A09CE3-1D60-4077-9ED2-A296F9FA8169}</c15:txfldGUID>
                      <c15:f>Sheet1!$F$47</c15:f>
                      <c15:dlblFieldTableCache>
                        <c:ptCount val="1"/>
                        <c:pt idx="0">
                          <c:v>49%</c:v>
                        </c:pt>
                      </c15:dlblFieldTableCache>
                    </c15:dlblFTEntry>
                  </c15:dlblFieldTable>
                  <c15:showDataLabelsRange val="0"/>
                </c:ext>
                <c:ext xmlns:c16="http://schemas.microsoft.com/office/drawing/2014/chart" uri="{C3380CC4-5D6E-409C-BE32-E72D297353CC}">
                  <c16:uniqueId val="{00000014-F1A6-4561-9009-3F036699E408}"/>
                </c:ext>
              </c:extLst>
            </c:dLbl>
            <c:dLbl>
              <c:idx val="5"/>
              <c:tx>
                <c:rich>
                  <a:bodyPr/>
                  <a:lstStyle/>
                  <a:p>
                    <a:fld id="{3688438C-7C3B-435A-AEFC-6FD62D527289}" type="CELLREF">
                      <a:rPr lang="en-US"/>
                      <a:pPr/>
                      <a:t>[CELLREF]</a:t>
                    </a:fld>
                    <a:endParaRPr lang="en-US"/>
                  </a:p>
                </c:rich>
              </c:tx>
              <c:showLegendKey val="0"/>
              <c:showVal val="1"/>
              <c:showCatName val="0"/>
              <c:showSerName val="0"/>
              <c:showPercent val="0"/>
              <c:showBubbleSize val="0"/>
              <c:extLst>
                <c:ext xmlns:c15="http://schemas.microsoft.com/office/drawing/2012/chart" uri="{CE6537A1-D6FC-4f65-9D91-7224C49458BB}">
                  <c15:dlblFieldTable>
                    <c15:dlblFTEntry>
                      <c15:txfldGUID>{3688438C-7C3B-435A-AEFC-6FD62D527289}</c15:txfldGUID>
                      <c15:f>Sheet1!$G$47</c15:f>
                      <c15:dlblFieldTableCache>
                        <c:ptCount val="1"/>
                        <c:pt idx="0">
                          <c:v>46%</c:v>
                        </c:pt>
                      </c15:dlblFieldTableCache>
                    </c15:dlblFTEntry>
                  </c15:dlblFieldTable>
                  <c15:showDataLabelsRange val="0"/>
                </c:ext>
                <c:ext xmlns:c16="http://schemas.microsoft.com/office/drawing/2014/chart" uri="{C3380CC4-5D6E-409C-BE32-E72D297353CC}">
                  <c16:uniqueId val="{00000015-F1A6-4561-9009-3F036699E408}"/>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Sheet1!$B$34:$G$34</c:f>
              <c:numCache>
                <c:formatCode>General</c:formatCode>
                <c:ptCount val="6"/>
                <c:pt idx="0">
                  <c:v>1990</c:v>
                </c:pt>
                <c:pt idx="1">
                  <c:v>1995</c:v>
                </c:pt>
                <c:pt idx="2">
                  <c:v>2000</c:v>
                </c:pt>
                <c:pt idx="3">
                  <c:v>2005</c:v>
                </c:pt>
                <c:pt idx="4">
                  <c:v>2010</c:v>
                </c:pt>
                <c:pt idx="5">
                  <c:v>2015</c:v>
                </c:pt>
              </c:numCache>
            </c:numRef>
          </c:cat>
          <c:val>
            <c:numRef>
              <c:f>Sheet1!$B$39:$G$39</c:f>
              <c:numCache>
                <c:formatCode>_(* #,##0.00_);_(* \(#,##0.00\);_(* "-"??_);_(@_)</c:formatCode>
                <c:ptCount val="6"/>
                <c:pt idx="0">
                  <c:v>1.1000111669999999</c:v>
                </c:pt>
                <c:pt idx="1">
                  <c:v>2.0594190459999999</c:v>
                </c:pt>
                <c:pt idx="2">
                  <c:v>1.4276424569999999</c:v>
                </c:pt>
                <c:pt idx="3">
                  <c:v>2.319284567</c:v>
                </c:pt>
                <c:pt idx="4">
                  <c:v>0.89338892599999997</c:v>
                </c:pt>
                <c:pt idx="5">
                  <c:v>0.88412001399999995</c:v>
                </c:pt>
              </c:numCache>
            </c:numRef>
          </c:val>
          <c:extLst>
            <c:ext xmlns:c16="http://schemas.microsoft.com/office/drawing/2014/chart" uri="{C3380CC4-5D6E-409C-BE32-E72D297353CC}">
              <c16:uniqueId val="{00000016-F1A6-4561-9009-3F036699E408}"/>
            </c:ext>
          </c:extLst>
        </c:ser>
        <c:dLbls>
          <c:showLegendKey val="0"/>
          <c:showVal val="0"/>
          <c:showCatName val="0"/>
          <c:showSerName val="0"/>
          <c:showPercent val="0"/>
          <c:showBubbleSize val="0"/>
        </c:dLbls>
        <c:gapWidth val="150"/>
        <c:shape val="box"/>
        <c:axId val="1808504607"/>
        <c:axId val="1808498783"/>
        <c:axId val="0"/>
      </c:bar3DChart>
      <c:catAx>
        <c:axId val="180850460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08498783"/>
        <c:crosses val="autoZero"/>
        <c:auto val="1"/>
        <c:lblAlgn val="ctr"/>
        <c:lblOffset val="100"/>
        <c:noMultiLvlLbl val="0"/>
      </c:catAx>
      <c:valAx>
        <c:axId val="18084987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0" i="0" u="none" strike="noStrike" baseline="0">
                    <a:effectLst/>
                  </a:rPr>
                  <a:t>GtCO</a:t>
                </a:r>
                <a:r>
                  <a:rPr lang="en-US" sz="1000" b="0" i="0" u="none" strike="noStrike" baseline="-25000">
                    <a:effectLst/>
                  </a:rPr>
                  <a:t>2</a:t>
                </a:r>
                <a:r>
                  <a:rPr lang="en-US" sz="1000" b="0" i="0" u="none" strike="noStrike" baseline="0">
                    <a:effectLst/>
                  </a:rPr>
                  <a:t>eq</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085046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28097765520337"/>
          <c:y val="4.5096258075845642E-2"/>
          <c:w val="0.82823384604640604"/>
          <c:h val="0.69583669237713042"/>
        </c:manualLayout>
      </c:layout>
      <c:lineChart>
        <c:grouping val="standard"/>
        <c:varyColors val="0"/>
        <c:ser>
          <c:idx val="0"/>
          <c:order val="0"/>
          <c:tx>
            <c:strRef>
              <c:f>Sheet1!$A$52</c:f>
              <c:strCache>
                <c:ptCount val="1"/>
                <c:pt idx="0">
                  <c:v>Energy</c:v>
                </c:pt>
              </c:strCache>
            </c:strRef>
          </c:tx>
          <c:spPr>
            <a:ln w="28575" cap="rnd">
              <a:solidFill>
                <a:schemeClr val="accent1"/>
              </a:solidFill>
              <a:round/>
            </a:ln>
            <a:effectLst/>
          </c:spPr>
          <c:marker>
            <c:symbol val="circle"/>
            <c:size val="6"/>
            <c:spPr>
              <a:solidFill>
                <a:schemeClr val="accent1"/>
              </a:solidFill>
              <a:ln w="9525">
                <a:solidFill>
                  <a:schemeClr val="accent1"/>
                </a:solidFill>
              </a:ln>
              <a:effectLst/>
            </c:spPr>
          </c:marker>
          <c:dLbls>
            <c:dLbl>
              <c:idx val="15"/>
              <c:layout>
                <c:manualLayout>
                  <c:x val="-3.804087447031676E-2"/>
                  <c:y val="4.09965982507687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138-402C-8ECB-E9011164A0F4}"/>
                </c:ext>
              </c:extLst>
            </c:dLbl>
            <c:dLbl>
              <c:idx val="24"/>
              <c:layout>
                <c:manualLayout>
                  <c:x val="-5.0053782197785113E-2"/>
                  <c:y val="-4.5096258075845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138-402C-8ECB-E9011164A0F4}"/>
                </c:ext>
              </c:extLst>
            </c:dLbl>
            <c:dLbl>
              <c:idx val="25"/>
              <c:layout>
                <c:manualLayout>
                  <c:x val="-1.401505901537998E-2"/>
                  <c:y val="-2.8697618775538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138-402C-8ECB-E9011164A0F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Sheet1!$B$51:$AA$51</c:f>
              <c:numCache>
                <c:formatCode>General</c:formatCode>
                <c:ptCount val="26"/>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numCache>
            </c:numRef>
          </c:cat>
          <c:val>
            <c:numRef>
              <c:f>Sheet1!$B$52:$AA$52</c:f>
              <c:numCache>
                <c:formatCode>_(* #,##0.00_);_(* \(#,##0.00\);_(* "-"??_);_(@_)</c:formatCode>
                <c:ptCount val="26"/>
                <c:pt idx="0">
                  <c:v>0.18964069</c:v>
                </c:pt>
                <c:pt idx="1">
                  <c:v>0.19496725400000001</c:v>
                </c:pt>
                <c:pt idx="2">
                  <c:v>0.198754242</c:v>
                </c:pt>
                <c:pt idx="3">
                  <c:v>0.20391556699999999</c:v>
                </c:pt>
                <c:pt idx="4">
                  <c:v>0.21239369</c:v>
                </c:pt>
                <c:pt idx="5">
                  <c:v>0.228113432</c:v>
                </c:pt>
                <c:pt idx="6">
                  <c:v>0.246013712</c:v>
                </c:pt>
                <c:pt idx="7">
                  <c:v>0.261478873</c:v>
                </c:pt>
                <c:pt idx="8">
                  <c:v>0.270239854</c:v>
                </c:pt>
                <c:pt idx="9">
                  <c:v>0.28075810499999998</c:v>
                </c:pt>
                <c:pt idx="10">
                  <c:v>0.28733138699999999</c:v>
                </c:pt>
                <c:pt idx="11">
                  <c:v>0.296753777</c:v>
                </c:pt>
                <c:pt idx="12">
                  <c:v>0.29466044200000002</c:v>
                </c:pt>
                <c:pt idx="13">
                  <c:v>0.287310016</c:v>
                </c:pt>
                <c:pt idx="14">
                  <c:v>0.30309341400000001</c:v>
                </c:pt>
                <c:pt idx="15">
                  <c:v>0.31387822599999998</c:v>
                </c:pt>
                <c:pt idx="16">
                  <c:v>0.317740356</c:v>
                </c:pt>
                <c:pt idx="17">
                  <c:v>0.33126135800000001</c:v>
                </c:pt>
                <c:pt idx="18">
                  <c:v>0.35153932799999998</c:v>
                </c:pt>
                <c:pt idx="19">
                  <c:v>0.33892867599999998</c:v>
                </c:pt>
                <c:pt idx="20">
                  <c:v>0.37085236999999999</c:v>
                </c:pt>
                <c:pt idx="21">
                  <c:v>0.38457862100000001</c:v>
                </c:pt>
                <c:pt idx="22">
                  <c:v>0.41878327100000001</c:v>
                </c:pt>
                <c:pt idx="23">
                  <c:v>0.45301721900000003</c:v>
                </c:pt>
                <c:pt idx="24">
                  <c:v>0.47941979099999998</c:v>
                </c:pt>
                <c:pt idx="25">
                  <c:v>0.45424766999999999</c:v>
                </c:pt>
              </c:numCache>
            </c:numRef>
          </c:val>
          <c:smooth val="0"/>
          <c:extLst>
            <c:ext xmlns:c16="http://schemas.microsoft.com/office/drawing/2014/chart" uri="{C3380CC4-5D6E-409C-BE32-E72D297353CC}">
              <c16:uniqueId val="{00000003-2138-402C-8ECB-E9011164A0F4}"/>
            </c:ext>
          </c:extLst>
        </c:ser>
        <c:ser>
          <c:idx val="1"/>
          <c:order val="1"/>
          <c:tx>
            <c:strRef>
              <c:f>Sheet1!$A$53</c:f>
              <c:strCache>
                <c:ptCount val="1"/>
                <c:pt idx="0">
                  <c:v>Agriculture/Livestock</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5"/>
              <c:layout>
                <c:manualLayout>
                  <c:x val="-3.6038723182405433E-2"/>
                  <c:y val="-4.5096258075845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138-402C-8ECB-E9011164A0F4}"/>
                </c:ext>
              </c:extLst>
            </c:dLbl>
            <c:dLbl>
              <c:idx val="25"/>
              <c:layout>
                <c:manualLayout>
                  <c:x val="-2.4025815454937004E-2"/>
                  <c:y val="4.5096258075845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138-402C-8ECB-E9011164A0F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Sheet1!$B$51:$AA$51</c:f>
              <c:numCache>
                <c:formatCode>General</c:formatCode>
                <c:ptCount val="26"/>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numCache>
            </c:numRef>
          </c:cat>
          <c:val>
            <c:numRef>
              <c:f>Sheet1!$B$53:$AA$53</c:f>
              <c:numCache>
                <c:formatCode>_(* #,##0.00_);_(* \(#,##0.00\);_(* "-"??_);_(@_)</c:formatCode>
                <c:ptCount val="26"/>
                <c:pt idx="0">
                  <c:v>0.28696280299999999</c:v>
                </c:pt>
                <c:pt idx="1">
                  <c:v>0.29542289700000002</c:v>
                </c:pt>
                <c:pt idx="2">
                  <c:v>0.30152362199999999</c:v>
                </c:pt>
                <c:pt idx="3">
                  <c:v>0.30347838700000002</c:v>
                </c:pt>
                <c:pt idx="4">
                  <c:v>0.31075250300000001</c:v>
                </c:pt>
                <c:pt idx="5">
                  <c:v>0.316487613</c:v>
                </c:pt>
                <c:pt idx="6">
                  <c:v>0.30328375099999999</c:v>
                </c:pt>
                <c:pt idx="7">
                  <c:v>0.309590596</c:v>
                </c:pt>
                <c:pt idx="8">
                  <c:v>0.31353513700000002</c:v>
                </c:pt>
                <c:pt idx="9">
                  <c:v>0.317432673</c:v>
                </c:pt>
                <c:pt idx="10">
                  <c:v>0.327908739</c:v>
                </c:pt>
                <c:pt idx="11">
                  <c:v>0.33928534500000002</c:v>
                </c:pt>
                <c:pt idx="12">
                  <c:v>0.35147992</c:v>
                </c:pt>
                <c:pt idx="13">
                  <c:v>0.37217951900000001</c:v>
                </c:pt>
                <c:pt idx="14">
                  <c:v>0.38728108999999999</c:v>
                </c:pt>
                <c:pt idx="15">
                  <c:v>0.39204187899999998</c:v>
                </c:pt>
                <c:pt idx="16">
                  <c:v>0.39191067899999998</c:v>
                </c:pt>
                <c:pt idx="17">
                  <c:v>0.38326603799999998</c:v>
                </c:pt>
                <c:pt idx="18">
                  <c:v>0.38943237600000002</c:v>
                </c:pt>
                <c:pt idx="19">
                  <c:v>0.39561162700000002</c:v>
                </c:pt>
                <c:pt idx="20">
                  <c:v>0.40645187700000002</c:v>
                </c:pt>
                <c:pt idx="21">
                  <c:v>0.41768167899999997</c:v>
                </c:pt>
                <c:pt idx="22">
                  <c:v>0.41280999000000002</c:v>
                </c:pt>
                <c:pt idx="23">
                  <c:v>0.41825712100000001</c:v>
                </c:pt>
                <c:pt idx="24">
                  <c:v>0.423109297</c:v>
                </c:pt>
                <c:pt idx="25">
                  <c:v>0.42549910899999999</c:v>
                </c:pt>
              </c:numCache>
            </c:numRef>
          </c:val>
          <c:smooth val="0"/>
          <c:extLst>
            <c:ext xmlns:c16="http://schemas.microsoft.com/office/drawing/2014/chart" uri="{C3380CC4-5D6E-409C-BE32-E72D297353CC}">
              <c16:uniqueId val="{00000006-2138-402C-8ECB-E9011164A0F4}"/>
            </c:ext>
          </c:extLst>
        </c:ser>
        <c:dLbls>
          <c:showLegendKey val="0"/>
          <c:showVal val="0"/>
          <c:showCatName val="0"/>
          <c:showSerName val="0"/>
          <c:showPercent val="0"/>
          <c:showBubbleSize val="0"/>
        </c:dLbls>
        <c:marker val="1"/>
        <c:smooth val="0"/>
        <c:axId val="531566592"/>
        <c:axId val="531560688"/>
      </c:lineChart>
      <c:catAx>
        <c:axId val="5315665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1560688"/>
        <c:crosses val="autoZero"/>
        <c:auto val="1"/>
        <c:lblAlgn val="ctr"/>
        <c:lblOffset val="100"/>
        <c:noMultiLvlLbl val="0"/>
      </c:catAx>
      <c:valAx>
        <c:axId val="531560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50"/>
                  <a:t>GtCO2eq</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1566592"/>
        <c:crosses val="autoZero"/>
        <c:crossBetween val="between"/>
      </c:valAx>
      <c:spPr>
        <a:noFill/>
        <a:ln>
          <a:noFill/>
        </a:ln>
        <a:effectLst/>
      </c:spPr>
    </c:plotArea>
    <c:legend>
      <c:legendPos val="r"/>
      <c:layout>
        <c:manualLayout>
          <c:xMode val="edge"/>
          <c:yMode val="edge"/>
          <c:x val="0.15716335836127546"/>
          <c:y val="0.89292334152619679"/>
          <c:w val="0.7347204720915087"/>
          <c:h val="0.1037794989892885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rot="-5400000" vert="horz"/>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BD0A98-C49B-4C83-A2AF-1873E3A3B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9775</Words>
  <Characters>55722</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Old Dominion University</Company>
  <LinksUpToDate>false</LinksUpToDate>
  <CharactersWithSpaces>65367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Matos-Sharifan, Melina</dc:creator>
  <cp:lastModifiedBy>melina matos</cp:lastModifiedBy>
  <cp:revision>4</cp:revision>
  <dcterms:created xsi:type="dcterms:W3CDTF">2017-04-02T03:18:00Z</dcterms:created>
  <dcterms:modified xsi:type="dcterms:W3CDTF">2017-04-02T03:19:00Z</dcterms:modified>
</cp:coreProperties>
</file>