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A81BF38" w14:textId="75262F97" w:rsidR="002F566E" w:rsidRDefault="004D3EAE" w:rsidP="00411136">
      <w:pPr>
        <w:pStyle w:val="normal0"/>
        <w:spacing w:line="240" w:lineRule="auto"/>
        <w:contextualSpacing w:val="0"/>
        <w:rPr>
          <w:rFonts w:ascii="Times New Roman" w:eastAsia="Times New Roman" w:hAnsi="Times New Roman" w:cs="Times New Roman"/>
          <w:b/>
          <w:sz w:val="24"/>
        </w:rPr>
      </w:pPr>
      <w:r>
        <w:rPr>
          <w:rFonts w:ascii="Times New Roman" w:eastAsia="Times New Roman" w:hAnsi="Times New Roman" w:cs="Times New Roman"/>
          <w:b/>
          <w:i/>
          <w:sz w:val="24"/>
        </w:rPr>
        <w:t>Doux Commerce</w:t>
      </w:r>
      <w:r w:rsidR="000B37A4">
        <w:rPr>
          <w:rFonts w:ascii="Times New Roman" w:eastAsia="Times New Roman" w:hAnsi="Times New Roman" w:cs="Times New Roman"/>
          <w:b/>
          <w:sz w:val="24"/>
        </w:rPr>
        <w:t xml:space="preserve"> and the </w:t>
      </w:r>
      <w:r w:rsidR="009A1741">
        <w:rPr>
          <w:rFonts w:ascii="Times New Roman" w:eastAsia="Times New Roman" w:hAnsi="Times New Roman" w:cs="Times New Roman"/>
          <w:b/>
          <w:sz w:val="24"/>
        </w:rPr>
        <w:t>“</w:t>
      </w:r>
      <w:r w:rsidR="000B37A4">
        <w:rPr>
          <w:rFonts w:ascii="Times New Roman" w:eastAsia="Times New Roman" w:hAnsi="Times New Roman" w:cs="Times New Roman"/>
          <w:b/>
          <w:sz w:val="24"/>
        </w:rPr>
        <w:t>Commercial Jew</w:t>
      </w:r>
      <w:r w:rsidR="009A1741">
        <w:rPr>
          <w:rFonts w:ascii="Times New Roman" w:eastAsia="Times New Roman" w:hAnsi="Times New Roman" w:cs="Times New Roman"/>
          <w:b/>
          <w:sz w:val="24"/>
        </w:rPr>
        <w:t>”</w:t>
      </w:r>
      <w:r w:rsidR="000B37A4">
        <w:rPr>
          <w:rFonts w:ascii="Times New Roman" w:eastAsia="Times New Roman" w:hAnsi="Times New Roman" w:cs="Times New Roman"/>
          <w:b/>
          <w:sz w:val="24"/>
        </w:rPr>
        <w:t xml:space="preserve">: </w:t>
      </w:r>
      <w:r>
        <w:rPr>
          <w:rFonts w:ascii="Times New Roman" w:eastAsia="Times New Roman" w:hAnsi="Times New Roman" w:cs="Times New Roman"/>
          <w:b/>
          <w:sz w:val="24"/>
        </w:rPr>
        <w:t>Intolerance and Tolerance in Voltaire and Montesquieu</w:t>
      </w:r>
    </w:p>
    <w:p w14:paraId="290586C1" w14:textId="77777777" w:rsidR="007724A6" w:rsidRDefault="007724A6" w:rsidP="00411136">
      <w:pPr>
        <w:pStyle w:val="normal0"/>
        <w:spacing w:line="240" w:lineRule="auto"/>
        <w:contextualSpacing w:val="0"/>
        <w:rPr>
          <w:rFonts w:ascii="Times New Roman" w:eastAsia="Times New Roman" w:hAnsi="Times New Roman" w:cs="Times New Roman"/>
          <w:b/>
          <w:sz w:val="24"/>
        </w:rPr>
      </w:pPr>
    </w:p>
    <w:p w14:paraId="540F6A49" w14:textId="5A4D15E9" w:rsidR="007724A6" w:rsidRPr="007724A6" w:rsidRDefault="007724A6" w:rsidP="00411136">
      <w:pPr>
        <w:pStyle w:val="normal0"/>
        <w:spacing w:line="240" w:lineRule="auto"/>
        <w:contextualSpacing w:val="0"/>
      </w:pPr>
      <w:r>
        <w:rPr>
          <w:rFonts w:ascii="Times New Roman" w:eastAsia="Times New Roman" w:hAnsi="Times New Roman" w:cs="Times New Roman"/>
          <w:b/>
          <w:sz w:val="24"/>
        </w:rPr>
        <w:t>Rob Goodman</w:t>
      </w:r>
      <w:r w:rsidRPr="007724A6">
        <w:rPr>
          <w:rStyle w:val="FootnoteReference"/>
          <w:rFonts w:ascii="Times New Roman" w:eastAsia="Times New Roman" w:hAnsi="Times New Roman" w:cs="Times New Roman"/>
          <w:sz w:val="24"/>
        </w:rPr>
        <w:footnoteReference w:id="1"/>
      </w:r>
      <w:r w:rsidRPr="007724A6">
        <w:rPr>
          <w:rFonts w:ascii="Times New Roman" w:eastAsia="Times New Roman" w:hAnsi="Times New Roman" w:cs="Times New Roman"/>
          <w:bCs/>
          <w:sz w:val="24"/>
          <w:vertAlign w:val="superscript"/>
        </w:rPr>
        <w:t>,</w:t>
      </w:r>
      <w:r w:rsidRPr="007724A6">
        <w:rPr>
          <w:rStyle w:val="FootnoteReference"/>
          <w:rFonts w:ascii="Times New Roman" w:eastAsia="Times New Roman" w:hAnsi="Times New Roman" w:cs="Times New Roman"/>
          <w:sz w:val="24"/>
        </w:rPr>
        <w:footnoteReference w:id="2"/>
      </w:r>
    </w:p>
    <w:p w14:paraId="6E91A693" w14:textId="1D17256E" w:rsidR="002F566E" w:rsidRDefault="002F566E" w:rsidP="00411136">
      <w:pPr>
        <w:pStyle w:val="normal0"/>
        <w:spacing w:line="240" w:lineRule="auto"/>
        <w:contextualSpacing w:val="0"/>
        <w:rPr>
          <w:rFonts w:ascii="Times New Roman" w:eastAsia="Times New Roman" w:hAnsi="Times New Roman" w:cs="Times New Roman"/>
          <w:b/>
          <w:sz w:val="24"/>
        </w:rPr>
      </w:pPr>
    </w:p>
    <w:p w14:paraId="64B0506F" w14:textId="198CABEB" w:rsidR="004D3EAE" w:rsidRPr="009A6A85" w:rsidRDefault="004D3EAE" w:rsidP="00411136">
      <w:pPr>
        <w:pStyle w:val="NormalWeb"/>
        <w:spacing w:before="0" w:beforeAutospacing="0" w:after="0" w:afterAutospacing="0"/>
        <w:rPr>
          <w:rFonts w:ascii="Times New Roman" w:hAnsi="Times New Roman"/>
          <w:color w:val="000000"/>
          <w:sz w:val="24"/>
          <w:szCs w:val="24"/>
        </w:rPr>
      </w:pPr>
      <w:r w:rsidRPr="004D3EAE">
        <w:rPr>
          <w:rFonts w:ascii="Times New Roman" w:eastAsia="Times New Roman" w:hAnsi="Times New Roman"/>
          <w:b/>
          <w:sz w:val="24"/>
          <w:szCs w:val="24"/>
        </w:rPr>
        <w:t xml:space="preserve">Abstract: </w:t>
      </w:r>
      <w:r w:rsidRPr="004D3EAE">
        <w:rPr>
          <w:rFonts w:ascii="Times New Roman" w:hAnsi="Times New Roman"/>
          <w:color w:val="000000"/>
          <w:sz w:val="24"/>
          <w:szCs w:val="24"/>
        </w:rPr>
        <w:t xml:space="preserve">Voltaire and Montesquieu both defended </w:t>
      </w:r>
      <w:r>
        <w:rPr>
          <w:rFonts w:ascii="Times New Roman" w:hAnsi="Times New Roman"/>
          <w:color w:val="000000"/>
          <w:sz w:val="24"/>
          <w:szCs w:val="24"/>
        </w:rPr>
        <w:t xml:space="preserve">eighteenth-century </w:t>
      </w:r>
      <w:r w:rsidR="002A6F9E">
        <w:rPr>
          <w:rFonts w:ascii="Times New Roman" w:hAnsi="Times New Roman"/>
          <w:color w:val="000000"/>
          <w:sz w:val="24"/>
          <w:szCs w:val="24"/>
        </w:rPr>
        <w:t>commerce against its critics—b</w:t>
      </w:r>
      <w:r w:rsidRPr="004D3EAE">
        <w:rPr>
          <w:rFonts w:ascii="Times New Roman" w:hAnsi="Times New Roman"/>
          <w:color w:val="000000"/>
          <w:sz w:val="24"/>
          <w:szCs w:val="24"/>
        </w:rPr>
        <w:t xml:space="preserve">ut Voltaire did so as a </w:t>
      </w:r>
      <w:r w:rsidR="00AA77F1">
        <w:rPr>
          <w:rFonts w:ascii="Times New Roman" w:hAnsi="Times New Roman"/>
          <w:color w:val="000000"/>
          <w:sz w:val="24"/>
          <w:szCs w:val="24"/>
        </w:rPr>
        <w:t>vehement</w:t>
      </w:r>
      <w:r w:rsidRPr="004D3EAE">
        <w:rPr>
          <w:rFonts w:ascii="Times New Roman" w:hAnsi="Times New Roman"/>
          <w:color w:val="000000"/>
          <w:sz w:val="24"/>
          <w:szCs w:val="24"/>
        </w:rPr>
        <w:t xml:space="preserve"> anti-Semite, while the </w:t>
      </w:r>
      <w:r w:rsidR="009A6A85">
        <w:rPr>
          <w:rFonts w:ascii="Times New Roman" w:hAnsi="Times New Roman"/>
          <w:color w:val="000000"/>
          <w:sz w:val="24"/>
          <w:szCs w:val="24"/>
        </w:rPr>
        <w:t xml:space="preserve">comparatively </w:t>
      </w:r>
      <w:r w:rsidRPr="004D3EAE">
        <w:rPr>
          <w:rFonts w:ascii="Times New Roman" w:hAnsi="Times New Roman"/>
          <w:color w:val="000000"/>
          <w:sz w:val="24"/>
          <w:szCs w:val="24"/>
        </w:rPr>
        <w:t>tolerant Montesquieu</w:t>
      </w:r>
      <w:r>
        <w:rPr>
          <w:rFonts w:ascii="Times New Roman" w:hAnsi="Times New Roman"/>
          <w:color w:val="000000"/>
          <w:sz w:val="24"/>
          <w:szCs w:val="24"/>
        </w:rPr>
        <w:t xml:space="preserve"> internalized </w:t>
      </w:r>
      <w:r w:rsidR="009A6A85">
        <w:rPr>
          <w:rFonts w:ascii="Times New Roman" w:hAnsi="Times New Roman"/>
          <w:color w:val="000000"/>
          <w:sz w:val="24"/>
          <w:szCs w:val="24"/>
        </w:rPr>
        <w:t>the most prevalent criticisms of commercial society</w:t>
      </w:r>
      <w:r>
        <w:rPr>
          <w:rFonts w:ascii="Times New Roman" w:hAnsi="Times New Roman"/>
          <w:color w:val="000000"/>
          <w:sz w:val="24"/>
          <w:szCs w:val="24"/>
        </w:rPr>
        <w:t>. Voltaire</w:t>
      </w:r>
      <w:r w:rsidR="009A1741">
        <w:rPr>
          <w:rFonts w:ascii="Times New Roman" w:hAnsi="Times New Roman"/>
          <w:color w:val="000000"/>
          <w:sz w:val="24"/>
          <w:szCs w:val="24"/>
        </w:rPr>
        <w:t>’</w:t>
      </w:r>
      <w:r>
        <w:rPr>
          <w:rFonts w:ascii="Times New Roman" w:hAnsi="Times New Roman"/>
          <w:color w:val="000000"/>
          <w:sz w:val="24"/>
          <w:szCs w:val="24"/>
        </w:rPr>
        <w:t xml:space="preserve">s strategic anti-Semitism projected </w:t>
      </w:r>
      <w:r w:rsidRPr="004D3EAE">
        <w:rPr>
          <w:rFonts w:ascii="Times New Roman" w:hAnsi="Times New Roman"/>
          <w:color w:val="000000"/>
          <w:sz w:val="24"/>
          <w:szCs w:val="24"/>
        </w:rPr>
        <w:t>the market</w:t>
      </w:r>
      <w:r w:rsidR="009A1741">
        <w:rPr>
          <w:rFonts w:ascii="Times New Roman" w:hAnsi="Times New Roman"/>
          <w:color w:val="000000"/>
          <w:sz w:val="24"/>
          <w:szCs w:val="24"/>
        </w:rPr>
        <w:t>’</w:t>
      </w:r>
      <w:r w:rsidRPr="004D3EAE">
        <w:rPr>
          <w:rFonts w:ascii="Times New Roman" w:hAnsi="Times New Roman"/>
          <w:color w:val="000000"/>
          <w:sz w:val="24"/>
          <w:szCs w:val="24"/>
        </w:rPr>
        <w:t>s unsavory qualities onto a</w:t>
      </w:r>
      <w:r>
        <w:rPr>
          <w:rFonts w:ascii="Times New Roman" w:hAnsi="Times New Roman"/>
          <w:color w:val="000000"/>
          <w:sz w:val="24"/>
          <w:szCs w:val="24"/>
        </w:rPr>
        <w:t>n already despised</w:t>
      </w:r>
      <w:r w:rsidR="009A6A85">
        <w:rPr>
          <w:rFonts w:ascii="Times New Roman" w:hAnsi="Times New Roman"/>
          <w:color w:val="000000"/>
          <w:sz w:val="24"/>
          <w:szCs w:val="24"/>
        </w:rPr>
        <w:t xml:space="preserve"> minority, creating, in effect, two </w:t>
      </w:r>
      <w:r w:rsidR="002917D7">
        <w:rPr>
          <w:rFonts w:ascii="Times New Roman" w:hAnsi="Times New Roman"/>
          <w:color w:val="000000"/>
          <w:sz w:val="24"/>
          <w:szCs w:val="24"/>
        </w:rPr>
        <w:t>varieties</w:t>
      </w:r>
      <w:r w:rsidR="009A6A85">
        <w:rPr>
          <w:rFonts w:ascii="Times New Roman" w:hAnsi="Times New Roman"/>
          <w:color w:val="000000"/>
          <w:sz w:val="24"/>
          <w:szCs w:val="24"/>
        </w:rPr>
        <w:t xml:space="preserve"> of commerce: </w:t>
      </w:r>
      <w:r w:rsidR="009A1741">
        <w:rPr>
          <w:rFonts w:ascii="Times New Roman" w:hAnsi="Times New Roman"/>
          <w:color w:val="000000"/>
          <w:sz w:val="24"/>
          <w:szCs w:val="24"/>
        </w:rPr>
        <w:t>“</w:t>
      </w:r>
      <w:r w:rsidR="009E2DC5">
        <w:rPr>
          <w:rFonts w:ascii="Times New Roman" w:hAnsi="Times New Roman"/>
          <w:color w:val="000000"/>
          <w:sz w:val="24"/>
          <w:szCs w:val="24"/>
        </w:rPr>
        <w:t>our</w:t>
      </w:r>
      <w:r w:rsidR="009A1741">
        <w:rPr>
          <w:rFonts w:ascii="Times New Roman" w:hAnsi="Times New Roman"/>
          <w:color w:val="000000"/>
          <w:sz w:val="24"/>
          <w:szCs w:val="24"/>
        </w:rPr>
        <w:t>”</w:t>
      </w:r>
      <w:r w:rsidRPr="004D3EAE">
        <w:rPr>
          <w:rFonts w:ascii="Times New Roman" w:hAnsi="Times New Roman"/>
          <w:color w:val="000000"/>
          <w:sz w:val="24"/>
          <w:szCs w:val="24"/>
        </w:rPr>
        <w:t xml:space="preserve"> progressive mo</w:t>
      </w:r>
      <w:r w:rsidR="009E2DC5">
        <w:rPr>
          <w:rFonts w:ascii="Times New Roman" w:hAnsi="Times New Roman"/>
          <w:color w:val="000000"/>
          <w:sz w:val="24"/>
          <w:szCs w:val="24"/>
        </w:rPr>
        <w:t xml:space="preserve">de and </w:t>
      </w:r>
      <w:r w:rsidR="009A1741">
        <w:rPr>
          <w:rFonts w:ascii="Times New Roman" w:hAnsi="Times New Roman"/>
          <w:color w:val="000000"/>
          <w:sz w:val="24"/>
          <w:szCs w:val="24"/>
        </w:rPr>
        <w:t>“</w:t>
      </w:r>
      <w:r w:rsidR="009E2DC5">
        <w:rPr>
          <w:rFonts w:ascii="Times New Roman" w:hAnsi="Times New Roman"/>
          <w:color w:val="000000"/>
          <w:sz w:val="24"/>
          <w:szCs w:val="24"/>
        </w:rPr>
        <w:t>their</w:t>
      </w:r>
      <w:r w:rsidR="009A1741">
        <w:rPr>
          <w:rFonts w:ascii="Times New Roman" w:hAnsi="Times New Roman"/>
          <w:color w:val="000000"/>
          <w:sz w:val="24"/>
          <w:szCs w:val="24"/>
        </w:rPr>
        <w:t>”</w:t>
      </w:r>
      <w:r w:rsidRPr="004D3EAE">
        <w:rPr>
          <w:rFonts w:ascii="Times New Roman" w:hAnsi="Times New Roman"/>
          <w:color w:val="000000"/>
          <w:sz w:val="24"/>
          <w:szCs w:val="24"/>
        </w:rPr>
        <w:t xml:space="preserve"> debased one. Montesquieu</w:t>
      </w:r>
      <w:r w:rsidR="002A6F9E">
        <w:rPr>
          <w:rFonts w:ascii="Times New Roman" w:hAnsi="Times New Roman"/>
          <w:color w:val="000000"/>
          <w:sz w:val="24"/>
          <w:szCs w:val="24"/>
        </w:rPr>
        <w:t>, by contrast,</w:t>
      </w:r>
      <w:r w:rsidRPr="004D3EAE">
        <w:rPr>
          <w:rFonts w:ascii="Times New Roman" w:hAnsi="Times New Roman"/>
          <w:color w:val="000000"/>
          <w:sz w:val="24"/>
          <w:szCs w:val="24"/>
        </w:rPr>
        <w:t xml:space="preserve"> </w:t>
      </w:r>
      <w:r w:rsidR="009A6A85">
        <w:rPr>
          <w:rFonts w:ascii="Times New Roman" w:hAnsi="Times New Roman"/>
          <w:color w:val="000000"/>
          <w:sz w:val="24"/>
          <w:szCs w:val="24"/>
        </w:rPr>
        <w:t xml:space="preserve">painted a more ambiguous picture, celebrating </w:t>
      </w:r>
      <w:r w:rsidR="009A6A85" w:rsidRPr="004D3EAE">
        <w:rPr>
          <w:rFonts w:ascii="Times New Roman" w:hAnsi="Times New Roman"/>
          <w:color w:val="000000"/>
          <w:sz w:val="24"/>
          <w:szCs w:val="24"/>
        </w:rPr>
        <w:t>the market</w:t>
      </w:r>
      <w:r w:rsidR="009A1741">
        <w:rPr>
          <w:rFonts w:ascii="Times New Roman" w:hAnsi="Times New Roman"/>
          <w:color w:val="000000"/>
          <w:sz w:val="24"/>
          <w:szCs w:val="24"/>
        </w:rPr>
        <w:t>’</w:t>
      </w:r>
      <w:r w:rsidR="009A6A85" w:rsidRPr="004D3EAE">
        <w:rPr>
          <w:rFonts w:ascii="Times New Roman" w:hAnsi="Times New Roman"/>
          <w:color w:val="000000"/>
          <w:sz w:val="24"/>
          <w:szCs w:val="24"/>
        </w:rPr>
        <w:t xml:space="preserve">s growth while often conceding the </w:t>
      </w:r>
      <w:r w:rsidR="009A6A85">
        <w:rPr>
          <w:rFonts w:ascii="Times New Roman" w:hAnsi="Times New Roman"/>
          <w:color w:val="000000"/>
          <w:sz w:val="24"/>
          <w:szCs w:val="24"/>
        </w:rPr>
        <w:t xml:space="preserve">superiority of the </w:t>
      </w:r>
      <w:r w:rsidR="009A6A85" w:rsidRPr="004D3EAE">
        <w:rPr>
          <w:rFonts w:ascii="Times New Roman" w:hAnsi="Times New Roman"/>
          <w:color w:val="000000"/>
          <w:sz w:val="24"/>
          <w:szCs w:val="24"/>
        </w:rPr>
        <w:t xml:space="preserve">pre-commercial </w:t>
      </w:r>
      <w:r w:rsidR="009A6A85">
        <w:rPr>
          <w:rFonts w:ascii="Times New Roman" w:hAnsi="Times New Roman"/>
          <w:color w:val="000000"/>
          <w:sz w:val="24"/>
          <w:szCs w:val="24"/>
        </w:rPr>
        <w:t xml:space="preserve">world, a position of rhetorical self-doubt that </w:t>
      </w:r>
      <w:r w:rsidR="00353A8C">
        <w:rPr>
          <w:rFonts w:ascii="Times New Roman" w:hAnsi="Times New Roman"/>
          <w:color w:val="000000"/>
          <w:sz w:val="24"/>
          <w:szCs w:val="24"/>
        </w:rPr>
        <w:t>minimized</w:t>
      </w:r>
      <w:r w:rsidR="009A6A85">
        <w:rPr>
          <w:rFonts w:ascii="Times New Roman" w:hAnsi="Times New Roman"/>
          <w:color w:val="000000"/>
          <w:sz w:val="24"/>
          <w:szCs w:val="24"/>
        </w:rPr>
        <w:t xml:space="preserve"> the need to manufacture scapegoats. </w:t>
      </w:r>
      <w:r w:rsidRPr="004D3EAE">
        <w:rPr>
          <w:rFonts w:ascii="Times New Roman" w:hAnsi="Times New Roman"/>
          <w:color w:val="000000"/>
          <w:sz w:val="24"/>
          <w:szCs w:val="24"/>
        </w:rPr>
        <w:t>Their clash stands as a</w:t>
      </w:r>
      <w:r w:rsidR="009A6A85">
        <w:rPr>
          <w:rFonts w:ascii="Times New Roman" w:hAnsi="Times New Roman"/>
          <w:color w:val="000000"/>
          <w:sz w:val="24"/>
          <w:szCs w:val="24"/>
        </w:rPr>
        <w:t>n object</w:t>
      </w:r>
      <w:r w:rsidRPr="004D3EAE">
        <w:rPr>
          <w:rFonts w:ascii="Times New Roman" w:hAnsi="Times New Roman"/>
          <w:color w:val="000000"/>
          <w:sz w:val="24"/>
          <w:szCs w:val="24"/>
        </w:rPr>
        <w:t xml:space="preserve"> lesson in argumentative ethics: while </w:t>
      </w:r>
      <w:r w:rsidR="009A1741">
        <w:rPr>
          <w:rFonts w:ascii="Times New Roman" w:hAnsi="Times New Roman"/>
          <w:color w:val="000000"/>
          <w:sz w:val="24"/>
          <w:szCs w:val="24"/>
        </w:rPr>
        <w:t>Voltaire’s</w:t>
      </w:r>
      <w:r w:rsidRPr="004D3EAE">
        <w:rPr>
          <w:rFonts w:ascii="Times New Roman" w:hAnsi="Times New Roman"/>
          <w:color w:val="000000"/>
          <w:sz w:val="24"/>
          <w:szCs w:val="24"/>
        </w:rPr>
        <w:t xml:space="preserve"> purism led to disturbing conclusions, Montesquieu</w:t>
      </w:r>
      <w:r w:rsidR="009A1741">
        <w:rPr>
          <w:rFonts w:ascii="Times New Roman" w:hAnsi="Times New Roman"/>
          <w:color w:val="000000"/>
          <w:sz w:val="24"/>
          <w:szCs w:val="24"/>
        </w:rPr>
        <w:t>’</w:t>
      </w:r>
      <w:r w:rsidRPr="004D3EAE">
        <w:rPr>
          <w:rFonts w:ascii="Times New Roman" w:hAnsi="Times New Roman"/>
          <w:color w:val="000000"/>
          <w:sz w:val="24"/>
          <w:szCs w:val="24"/>
        </w:rPr>
        <w:t xml:space="preserve">s self-critical </w:t>
      </w:r>
      <w:r w:rsidR="009A6A85">
        <w:rPr>
          <w:rFonts w:ascii="Times New Roman" w:hAnsi="Times New Roman"/>
          <w:color w:val="000000"/>
          <w:sz w:val="24"/>
          <w:szCs w:val="24"/>
        </w:rPr>
        <w:t>approach</w:t>
      </w:r>
      <w:r>
        <w:rPr>
          <w:rFonts w:ascii="Times New Roman" w:hAnsi="Times New Roman"/>
          <w:color w:val="000000"/>
          <w:sz w:val="24"/>
          <w:szCs w:val="24"/>
        </w:rPr>
        <w:t xml:space="preserve"> </w:t>
      </w:r>
      <w:r w:rsidRPr="004D3EAE">
        <w:rPr>
          <w:rFonts w:ascii="Times New Roman" w:hAnsi="Times New Roman"/>
          <w:color w:val="000000"/>
          <w:sz w:val="24"/>
          <w:szCs w:val="24"/>
        </w:rPr>
        <w:t>endures as a compelling model.</w:t>
      </w:r>
    </w:p>
    <w:p w14:paraId="5B0A960D" w14:textId="77777777" w:rsidR="004D3EAE" w:rsidRPr="000D14BE" w:rsidRDefault="004D3EAE" w:rsidP="00411136">
      <w:pPr>
        <w:rPr>
          <w:rFonts w:ascii="Times" w:eastAsia="Times New Roman" w:hAnsi="Times" w:cs="Times New Roman"/>
          <w:lang w:eastAsia="en-US"/>
        </w:rPr>
      </w:pPr>
    </w:p>
    <w:p w14:paraId="402B67DC" w14:textId="77777777" w:rsidR="004D3EAE" w:rsidRPr="000D14BE" w:rsidRDefault="004D3EAE" w:rsidP="00411136">
      <w:pPr>
        <w:pStyle w:val="normal0"/>
        <w:spacing w:line="240" w:lineRule="auto"/>
        <w:contextualSpacing w:val="0"/>
        <w:rPr>
          <w:rFonts w:ascii="Times New Roman" w:eastAsia="Times New Roman" w:hAnsi="Times New Roman" w:cs="Times New Roman"/>
          <w:sz w:val="24"/>
        </w:rPr>
      </w:pPr>
    </w:p>
    <w:p w14:paraId="5C3C356B" w14:textId="329AECEC" w:rsidR="002F566E" w:rsidRDefault="004D3EAE" w:rsidP="00411136">
      <w:pPr>
        <w:pStyle w:val="normal0"/>
        <w:spacing w:line="240" w:lineRule="auto"/>
        <w:contextualSpacing w:val="0"/>
      </w:pPr>
      <w:r>
        <w:rPr>
          <w:rFonts w:ascii="Times New Roman" w:eastAsia="Times New Roman" w:hAnsi="Times New Roman" w:cs="Times New Roman"/>
          <w:sz w:val="24"/>
        </w:rPr>
        <w:t xml:space="preserve">Faced with attacks on a value we hold dear, we might, if the criticisms prove difficult to rebut, pursue two different strategies: deflect them onto others, or take them to heart. These were the respective responses of the </w:t>
      </w:r>
      <w:r>
        <w:rPr>
          <w:rFonts w:ascii="Times New Roman" w:eastAsia="Times New Roman" w:hAnsi="Times New Roman" w:cs="Times New Roman"/>
          <w:i/>
          <w:sz w:val="24"/>
        </w:rPr>
        <w:t>philosophes</w:t>
      </w:r>
      <w:r>
        <w:rPr>
          <w:rFonts w:ascii="Times New Roman" w:eastAsia="Times New Roman" w:hAnsi="Times New Roman" w:cs="Times New Roman"/>
          <w:sz w:val="24"/>
        </w:rPr>
        <w:t xml:space="preserve"> Voltaire and Montesquieu to the </w:t>
      </w:r>
      <w:r w:rsidR="002F5D7D">
        <w:rPr>
          <w:rFonts w:ascii="Times New Roman" w:eastAsia="Times New Roman" w:hAnsi="Times New Roman" w:cs="Times New Roman"/>
          <w:sz w:val="24"/>
        </w:rPr>
        <w:t>eighteenth</w:t>
      </w:r>
      <w:r>
        <w:rPr>
          <w:rFonts w:ascii="Times New Roman" w:eastAsia="Times New Roman" w:hAnsi="Times New Roman" w:cs="Times New Roman"/>
          <w:sz w:val="24"/>
        </w:rPr>
        <w:t>-century critics of intensified commerce: the former, polemical and unwavering, and the latter, ambiguous and self-critical. I argue that the distinction between these approaches was not merely a matter of intellectual style, but an index of these writers</w:t>
      </w:r>
      <w:r w:rsidR="009A1741">
        <w:rPr>
          <w:rFonts w:ascii="Times New Roman" w:eastAsia="Times New Roman" w:hAnsi="Times New Roman" w:cs="Times New Roman"/>
          <w:sz w:val="24"/>
        </w:rPr>
        <w:t>’</w:t>
      </w:r>
      <w:r>
        <w:rPr>
          <w:rFonts w:ascii="Times New Roman" w:eastAsia="Times New Roman" w:hAnsi="Times New Roman" w:cs="Times New Roman"/>
          <w:sz w:val="24"/>
        </w:rPr>
        <w:t xml:space="preserve"> humanity: Voltaire purchased an uncompromising defense of commerce at the expense of vitriolic anti-Semitism,</w:t>
      </w:r>
      <w:r>
        <w:rPr>
          <w:rFonts w:ascii="Times New Roman" w:eastAsia="Times New Roman" w:hAnsi="Times New Roman" w:cs="Times New Roman"/>
          <w:sz w:val="24"/>
          <w:vertAlign w:val="superscript"/>
        </w:rPr>
        <w:footnoteReference w:id="3"/>
      </w:r>
      <w:r>
        <w:rPr>
          <w:rFonts w:ascii="Times New Roman" w:eastAsia="Times New Roman" w:hAnsi="Times New Roman" w:cs="Times New Roman"/>
          <w:sz w:val="24"/>
        </w:rPr>
        <w:t xml:space="preserve"> while the comparatively tolerant Montesquieu avoided a similar fault largely by taking greater ownership of </w:t>
      </w:r>
      <w:r w:rsidR="00E4123C">
        <w:rPr>
          <w:rFonts w:ascii="Times New Roman" w:eastAsia="Times New Roman" w:hAnsi="Times New Roman" w:cs="Times New Roman"/>
          <w:sz w:val="24"/>
        </w:rPr>
        <w:t>the flaws of commerce</w:t>
      </w:r>
      <w:r>
        <w:rPr>
          <w:rFonts w:ascii="Times New Roman" w:eastAsia="Times New Roman" w:hAnsi="Times New Roman" w:cs="Times New Roman"/>
          <w:sz w:val="24"/>
        </w:rPr>
        <w:t>.</w:t>
      </w:r>
    </w:p>
    <w:p w14:paraId="0CDA2330" w14:textId="33E7BA36" w:rsidR="002F566E" w:rsidRDefault="004D3EAE" w:rsidP="00411136">
      <w:pPr>
        <w:pStyle w:val="normal0"/>
        <w:spacing w:line="240" w:lineRule="auto"/>
        <w:ind w:firstLine="720"/>
        <w:contextualSpacing w:val="0"/>
      </w:pPr>
      <w:r>
        <w:rPr>
          <w:rFonts w:ascii="Times New Roman" w:eastAsia="Times New Roman" w:hAnsi="Times New Roman" w:cs="Times New Roman"/>
          <w:sz w:val="24"/>
        </w:rPr>
        <w:t xml:space="preserve">It is perhaps counterintuitive that a stronger embrace of commerce would go hand-in-hand with a decisive rejection of Jews, and vice-versa. In an intellectual culture in which Jews often </w:t>
      </w:r>
      <w:r w:rsidR="009A1741">
        <w:rPr>
          <w:rFonts w:ascii="Times New Roman" w:eastAsia="Times New Roman" w:hAnsi="Times New Roman" w:cs="Times New Roman"/>
          <w:sz w:val="24"/>
        </w:rPr>
        <w:t>“</w:t>
      </w:r>
      <w:r>
        <w:rPr>
          <w:rFonts w:ascii="Times New Roman" w:eastAsia="Times New Roman" w:hAnsi="Times New Roman" w:cs="Times New Roman"/>
          <w:sz w:val="24"/>
        </w:rPr>
        <w:t>served as a kind of metaphor-turned-flesh for cap</w:t>
      </w:r>
      <w:r w:rsidR="009E2DC5">
        <w:rPr>
          <w:rFonts w:ascii="Times New Roman" w:eastAsia="Times New Roman" w:hAnsi="Times New Roman" w:cs="Times New Roman"/>
          <w:sz w:val="24"/>
        </w:rPr>
        <w:t>italism</w:t>
      </w:r>
      <w:r w:rsidR="009A1741">
        <w:rPr>
          <w:rFonts w:ascii="Times New Roman" w:eastAsia="Times New Roman" w:hAnsi="Times New Roman" w:cs="Times New Roman"/>
          <w:sz w:val="24"/>
        </w:rPr>
        <w:t>,”</w:t>
      </w:r>
      <w:r>
        <w:rPr>
          <w:rFonts w:ascii="Times New Roman" w:eastAsia="Times New Roman" w:hAnsi="Times New Roman" w:cs="Times New Roman"/>
          <w:sz w:val="24"/>
          <w:vertAlign w:val="superscript"/>
        </w:rPr>
        <w:footnoteReference w:id="4"/>
      </w:r>
      <w:r>
        <w:rPr>
          <w:rFonts w:ascii="Times New Roman" w:eastAsia="Times New Roman" w:hAnsi="Times New Roman" w:cs="Times New Roman"/>
          <w:sz w:val="24"/>
        </w:rPr>
        <w:t xml:space="preserve"> what would drive an enthusiastic friend of commerce to unabashed anti-Semitism? Consider Voltaire on this score: he insistently identified Jews as the commercial people </w:t>
      </w:r>
      <w:r>
        <w:rPr>
          <w:rFonts w:ascii="Times New Roman" w:eastAsia="Times New Roman" w:hAnsi="Times New Roman" w:cs="Times New Roman"/>
          <w:i/>
          <w:sz w:val="24"/>
        </w:rPr>
        <w:t>par excellence</w:t>
      </w:r>
      <w:r>
        <w:rPr>
          <w:rFonts w:ascii="Times New Roman" w:eastAsia="Times New Roman" w:hAnsi="Times New Roman" w:cs="Times New Roman"/>
          <w:sz w:val="24"/>
        </w:rPr>
        <w:t xml:space="preserve">; he loved commerce; and yet it is difficult to deny that he despised Jews. I seek to resolve that seeming paradox by arguing that </w:t>
      </w:r>
      <w:r w:rsidR="009A1741">
        <w:rPr>
          <w:rFonts w:ascii="Times New Roman" w:eastAsia="Times New Roman" w:hAnsi="Times New Roman" w:cs="Times New Roman"/>
          <w:sz w:val="24"/>
        </w:rPr>
        <w:t>Voltaire’s</w:t>
      </w:r>
      <w:r>
        <w:rPr>
          <w:rFonts w:ascii="Times New Roman" w:eastAsia="Times New Roman" w:hAnsi="Times New Roman" w:cs="Times New Roman"/>
          <w:sz w:val="24"/>
        </w:rPr>
        <w:t xml:space="preserve"> anti-Semitism played an important role in his thought as an argumentative strategy in defense of commerce: Jews were the group onto which he projected a number of commerce</w:t>
      </w:r>
      <w:r w:rsidR="009A1741">
        <w:rPr>
          <w:rFonts w:ascii="Times New Roman" w:eastAsia="Times New Roman" w:hAnsi="Times New Roman" w:cs="Times New Roman"/>
          <w:sz w:val="24"/>
        </w:rPr>
        <w:t>’</w:t>
      </w:r>
      <w:r>
        <w:rPr>
          <w:rFonts w:ascii="Times New Roman" w:eastAsia="Times New Roman" w:hAnsi="Times New Roman" w:cs="Times New Roman"/>
          <w:sz w:val="24"/>
        </w:rPr>
        <w:t xml:space="preserve">s most unsavory qualities. Voltaire was well aware of the profoundly disruptive effects of the rise of commercial </w:t>
      </w:r>
      <w:r>
        <w:rPr>
          <w:rFonts w:ascii="Times New Roman" w:eastAsia="Times New Roman" w:hAnsi="Times New Roman" w:cs="Times New Roman"/>
          <w:sz w:val="24"/>
        </w:rPr>
        <w:lastRenderedPageBreak/>
        <w:t xml:space="preserve">society: its controversial dependence on lending at interest; its tendency to undermine traditional social relationships, and to replace them with relationships mediated by money; its alleged assault on the classical virtues. Yet </w:t>
      </w:r>
      <w:r w:rsidR="009A1741">
        <w:rPr>
          <w:rFonts w:ascii="Times New Roman" w:eastAsia="Times New Roman" w:hAnsi="Times New Roman" w:cs="Times New Roman"/>
          <w:sz w:val="24"/>
        </w:rPr>
        <w:t>Voltaire’s</w:t>
      </w:r>
      <w:r>
        <w:rPr>
          <w:rFonts w:ascii="Times New Roman" w:eastAsia="Times New Roman" w:hAnsi="Times New Roman" w:cs="Times New Roman"/>
          <w:sz w:val="24"/>
        </w:rPr>
        <w:t xml:space="preserve"> response to these charges was not to meet them head-on, but to isolate what were widely considered the worst qualities of commerce as the property of an already despised minority. For Voltaire, it seems, there were two kinds of commerce: the true, wholesome, pr</w:t>
      </w:r>
      <w:r w:rsidR="009E2DC5">
        <w:rPr>
          <w:rFonts w:ascii="Times New Roman" w:eastAsia="Times New Roman" w:hAnsi="Times New Roman" w:cs="Times New Roman"/>
          <w:sz w:val="24"/>
        </w:rPr>
        <w:t xml:space="preserve">ogressive kind practiced by </w:t>
      </w:r>
      <w:r w:rsidR="009A1741">
        <w:rPr>
          <w:rFonts w:ascii="Times New Roman" w:eastAsia="Times New Roman" w:hAnsi="Times New Roman" w:cs="Times New Roman"/>
          <w:sz w:val="24"/>
        </w:rPr>
        <w:t>“</w:t>
      </w:r>
      <w:r w:rsidR="009E2DC5">
        <w:rPr>
          <w:rFonts w:ascii="Times New Roman" w:eastAsia="Times New Roman" w:hAnsi="Times New Roman" w:cs="Times New Roman"/>
          <w:sz w:val="24"/>
        </w:rPr>
        <w:t>us</w:t>
      </w:r>
      <w:r w:rsidR="009A1741">
        <w:rPr>
          <w:rFonts w:ascii="Times New Roman" w:eastAsia="Times New Roman" w:hAnsi="Times New Roman" w:cs="Times New Roman"/>
          <w:sz w:val="24"/>
        </w:rPr>
        <w:t>,”</w:t>
      </w:r>
      <w:r>
        <w:rPr>
          <w:rFonts w:ascii="Times New Roman" w:eastAsia="Times New Roman" w:hAnsi="Times New Roman" w:cs="Times New Roman"/>
          <w:sz w:val="24"/>
        </w:rPr>
        <w:t xml:space="preserve"> and the debased, grasping, calc</w:t>
      </w:r>
      <w:r w:rsidR="009E2DC5">
        <w:rPr>
          <w:rFonts w:ascii="Times New Roman" w:eastAsia="Times New Roman" w:hAnsi="Times New Roman" w:cs="Times New Roman"/>
          <w:sz w:val="24"/>
        </w:rPr>
        <w:t xml:space="preserve">ulating kind practiced by </w:t>
      </w:r>
      <w:r w:rsidR="009A1741">
        <w:rPr>
          <w:rFonts w:ascii="Times New Roman" w:eastAsia="Times New Roman" w:hAnsi="Times New Roman" w:cs="Times New Roman"/>
          <w:sz w:val="24"/>
        </w:rPr>
        <w:t>“</w:t>
      </w:r>
      <w:r w:rsidR="009E2DC5">
        <w:rPr>
          <w:rFonts w:ascii="Times New Roman" w:eastAsia="Times New Roman" w:hAnsi="Times New Roman" w:cs="Times New Roman"/>
          <w:sz w:val="24"/>
        </w:rPr>
        <w:t>them</w:t>
      </w:r>
      <w:r w:rsidR="009A1741">
        <w:rPr>
          <w:rFonts w:ascii="Times New Roman" w:eastAsia="Times New Roman" w:hAnsi="Times New Roman" w:cs="Times New Roman"/>
          <w:sz w:val="24"/>
        </w:rPr>
        <w:t>.”</w:t>
      </w:r>
      <w:r>
        <w:rPr>
          <w:rFonts w:ascii="Times New Roman" w:eastAsia="Times New Roman" w:hAnsi="Times New Roman" w:cs="Times New Roman"/>
          <w:sz w:val="24"/>
        </w:rPr>
        <w:t xml:space="preserve"> For Montesquieu, on the other hand, there was no pure version of commerce that needed saving: he accepted the growth of the market economy as a generally positive development, even as he recognized the ways in which the </w:t>
      </w:r>
      <w:r w:rsidR="00740BC8">
        <w:rPr>
          <w:rFonts w:ascii="Times New Roman" w:eastAsia="Times New Roman" w:hAnsi="Times New Roman" w:cs="Times New Roman"/>
          <w:sz w:val="24"/>
        </w:rPr>
        <w:t xml:space="preserve">emerging world </w:t>
      </w:r>
      <w:r>
        <w:rPr>
          <w:rFonts w:ascii="Times New Roman" w:eastAsia="Times New Roman" w:hAnsi="Times New Roman" w:cs="Times New Roman"/>
          <w:sz w:val="24"/>
        </w:rPr>
        <w:t xml:space="preserve">of trade and calculation paled in comparison to accomplishments of the ancients that </w:t>
      </w:r>
      <w:r w:rsidR="009A1741">
        <w:rPr>
          <w:rFonts w:ascii="Times New Roman" w:eastAsia="Times New Roman" w:hAnsi="Times New Roman" w:cs="Times New Roman"/>
          <w:sz w:val="24"/>
        </w:rPr>
        <w:t>“</w:t>
      </w:r>
      <w:r>
        <w:rPr>
          <w:rFonts w:ascii="Times New Roman" w:eastAsia="Times New Roman" w:hAnsi="Times New Roman" w:cs="Times New Roman"/>
          <w:sz w:val="24"/>
        </w:rPr>
        <w:t>astonish our small souls</w:t>
      </w:r>
      <w:r w:rsidR="009A1741">
        <w:rPr>
          <w:rFonts w:ascii="Times New Roman" w:eastAsia="Times New Roman" w:hAnsi="Times New Roman" w:cs="Times New Roman"/>
          <w:sz w:val="24"/>
        </w:rPr>
        <w:t>.”</w:t>
      </w:r>
      <w:r>
        <w:rPr>
          <w:rFonts w:ascii="Times New Roman" w:eastAsia="Times New Roman" w:hAnsi="Times New Roman" w:cs="Times New Roman"/>
          <w:sz w:val="24"/>
          <w:vertAlign w:val="superscript"/>
        </w:rPr>
        <w:footnoteReference w:id="5"/>
      </w:r>
      <w:r>
        <w:rPr>
          <w:rFonts w:ascii="Times New Roman" w:eastAsia="Times New Roman" w:hAnsi="Times New Roman" w:cs="Times New Roman"/>
          <w:sz w:val="24"/>
        </w:rPr>
        <w:t xml:space="preserve"> Where Voltaire scapegoated, Montesquieu internalized; and if Voltaire outdid him as a polemicist, Montesquieu (as was recognized even in their own time) excelled Voltaire in tolerance.</w:t>
      </w:r>
    </w:p>
    <w:p w14:paraId="2784AFB2" w14:textId="403FF918" w:rsidR="002F566E" w:rsidRDefault="004D3EAE" w:rsidP="00411136">
      <w:pPr>
        <w:pStyle w:val="normal0"/>
        <w:spacing w:line="240" w:lineRule="auto"/>
        <w:ind w:firstLine="720"/>
        <w:contextualSpacing w:val="0"/>
      </w:pPr>
      <w:r>
        <w:rPr>
          <w:rFonts w:ascii="Times New Roman" w:eastAsia="Times New Roman" w:hAnsi="Times New Roman" w:cs="Times New Roman"/>
          <w:sz w:val="24"/>
        </w:rPr>
        <w:t>Closer attention to this episode in intellectual history may shed light on these writers</w:t>
      </w:r>
      <w:r w:rsidR="009A1741">
        <w:rPr>
          <w:rFonts w:ascii="Times New Roman" w:eastAsia="Times New Roman" w:hAnsi="Times New Roman" w:cs="Times New Roman"/>
          <w:sz w:val="24"/>
        </w:rPr>
        <w:t>’</w:t>
      </w:r>
      <w:r>
        <w:rPr>
          <w:rFonts w:ascii="Times New Roman" w:eastAsia="Times New Roman" w:hAnsi="Times New Roman" w:cs="Times New Roman"/>
          <w:sz w:val="24"/>
        </w:rPr>
        <w:t xml:space="preserve"> still-disputed attitudes toward Jews—but their clash has much broader implications. It points to the ways in which advocates of </w:t>
      </w:r>
      <w:r w:rsidR="00701A49">
        <w:rPr>
          <w:rFonts w:ascii="Times New Roman" w:eastAsia="Times New Roman" w:hAnsi="Times New Roman" w:cs="Times New Roman"/>
          <w:sz w:val="24"/>
        </w:rPr>
        <w:t>the market economy</w:t>
      </w:r>
      <w:r>
        <w:rPr>
          <w:rFonts w:ascii="Times New Roman" w:eastAsia="Times New Roman" w:hAnsi="Times New Roman" w:cs="Times New Roman"/>
          <w:sz w:val="24"/>
        </w:rPr>
        <w:t>, not just its critics,</w:t>
      </w:r>
      <w:r>
        <w:rPr>
          <w:rFonts w:ascii="Times New Roman" w:eastAsia="Times New Roman" w:hAnsi="Times New Roman" w:cs="Times New Roman"/>
          <w:sz w:val="24"/>
          <w:vertAlign w:val="superscript"/>
        </w:rPr>
        <w:footnoteReference w:id="6"/>
      </w:r>
      <w:r>
        <w:rPr>
          <w:rFonts w:ascii="Times New Roman" w:eastAsia="Times New Roman" w:hAnsi="Times New Roman" w:cs="Times New Roman"/>
          <w:sz w:val="24"/>
        </w:rPr>
        <w:t xml:space="preserve"> have made use of anti-Semitism. And it offers an object lesson in what we might call argumentative ethics: the way in which </w:t>
      </w:r>
      <w:r w:rsidR="009A1741">
        <w:rPr>
          <w:rFonts w:ascii="Times New Roman" w:eastAsia="Times New Roman" w:hAnsi="Times New Roman" w:cs="Times New Roman"/>
          <w:sz w:val="24"/>
        </w:rPr>
        <w:t>Voltaire’s</w:t>
      </w:r>
      <w:r>
        <w:rPr>
          <w:rFonts w:ascii="Times New Roman" w:eastAsia="Times New Roman" w:hAnsi="Times New Roman" w:cs="Times New Roman"/>
          <w:sz w:val="24"/>
        </w:rPr>
        <w:t xml:space="preserve"> unyielding rhetorical purism led him to dark, disturbing conclusions, while </w:t>
      </w:r>
      <w:r w:rsidR="009A1741">
        <w:rPr>
          <w:rFonts w:ascii="Times New Roman" w:eastAsia="Times New Roman" w:hAnsi="Times New Roman" w:cs="Times New Roman"/>
          <w:sz w:val="24"/>
        </w:rPr>
        <w:t>Montesquieu’s</w:t>
      </w:r>
      <w:r>
        <w:rPr>
          <w:rFonts w:ascii="Times New Roman" w:eastAsia="Times New Roman" w:hAnsi="Times New Roman" w:cs="Times New Roman"/>
          <w:sz w:val="24"/>
        </w:rPr>
        <w:t xml:space="preserve"> ambiguity and tolerance went hand-in-hand. Though both thinkers shared the common goal of defending some of the central institutions of commercial modernity, </w:t>
      </w:r>
      <w:r w:rsidR="009A1741">
        <w:rPr>
          <w:rFonts w:ascii="Times New Roman" w:eastAsia="Times New Roman" w:hAnsi="Times New Roman" w:cs="Times New Roman"/>
          <w:sz w:val="24"/>
        </w:rPr>
        <w:t>Montesquieu’s</w:t>
      </w:r>
      <w:r>
        <w:rPr>
          <w:rFonts w:ascii="Times New Roman" w:eastAsia="Times New Roman" w:hAnsi="Times New Roman" w:cs="Times New Roman"/>
          <w:sz w:val="24"/>
        </w:rPr>
        <w:t xml:space="preserve"> mode of argumentation—which avoided scapegoating precisely </w:t>
      </w:r>
      <w:r>
        <w:rPr>
          <w:rFonts w:ascii="Times New Roman" w:eastAsia="Times New Roman" w:hAnsi="Times New Roman" w:cs="Times New Roman"/>
          <w:i/>
          <w:sz w:val="24"/>
        </w:rPr>
        <w:t>because</w:t>
      </w:r>
      <w:r>
        <w:rPr>
          <w:rFonts w:ascii="Times New Roman" w:eastAsia="Times New Roman" w:hAnsi="Times New Roman" w:cs="Times New Roman"/>
          <w:sz w:val="24"/>
        </w:rPr>
        <w:t xml:space="preserve"> it embraced self-criticism and equivocation—endures as a far more compelling model.</w:t>
      </w:r>
    </w:p>
    <w:p w14:paraId="28550F8A" w14:textId="77777777" w:rsidR="002F566E" w:rsidRDefault="002F566E" w:rsidP="00411136">
      <w:pPr>
        <w:pStyle w:val="normal0"/>
        <w:spacing w:line="240" w:lineRule="auto"/>
        <w:contextualSpacing w:val="0"/>
      </w:pPr>
    </w:p>
    <w:p w14:paraId="6241ECBC" w14:textId="38EAA3EE" w:rsidR="002F566E" w:rsidRDefault="004D3EAE" w:rsidP="00411136">
      <w:pPr>
        <w:pStyle w:val="normal0"/>
        <w:spacing w:line="240" w:lineRule="auto"/>
        <w:contextualSpacing w:val="0"/>
      </w:pPr>
      <w:r>
        <w:rPr>
          <w:rFonts w:ascii="Times New Roman" w:eastAsia="Times New Roman" w:hAnsi="Times New Roman" w:cs="Times New Roman"/>
          <w:b/>
          <w:sz w:val="24"/>
        </w:rPr>
        <w:t xml:space="preserve">Explaining </w:t>
      </w:r>
      <w:r w:rsidR="009A1741">
        <w:rPr>
          <w:rFonts w:ascii="Times New Roman" w:eastAsia="Times New Roman" w:hAnsi="Times New Roman" w:cs="Times New Roman"/>
          <w:b/>
          <w:sz w:val="24"/>
        </w:rPr>
        <w:t>Voltaire’s</w:t>
      </w:r>
      <w:r>
        <w:rPr>
          <w:rFonts w:ascii="Times New Roman" w:eastAsia="Times New Roman" w:hAnsi="Times New Roman" w:cs="Times New Roman"/>
          <w:b/>
          <w:sz w:val="24"/>
        </w:rPr>
        <w:t xml:space="preserve"> Anti-Semitism</w:t>
      </w:r>
    </w:p>
    <w:p w14:paraId="1623CCB4" w14:textId="26DF90A8" w:rsidR="002F566E" w:rsidRDefault="004D3EAE" w:rsidP="00411136">
      <w:pPr>
        <w:pStyle w:val="normal0"/>
        <w:spacing w:line="240" w:lineRule="auto"/>
        <w:contextualSpacing w:val="0"/>
      </w:pPr>
      <w:r>
        <w:rPr>
          <w:rFonts w:ascii="Times New Roman" w:eastAsia="Times New Roman" w:hAnsi="Times New Roman" w:cs="Times New Roman"/>
          <w:sz w:val="24"/>
        </w:rPr>
        <w:t xml:space="preserve">It can be puzzling, even shocking, that such a well-known avatar of tolerance as Voltaire expended such effort on a lifelong project of intolerance. But </w:t>
      </w:r>
      <w:r w:rsidR="009A1741">
        <w:rPr>
          <w:rFonts w:ascii="Times New Roman" w:eastAsia="Times New Roman" w:hAnsi="Times New Roman" w:cs="Times New Roman"/>
          <w:sz w:val="24"/>
        </w:rPr>
        <w:t>Voltaire’s</w:t>
      </w:r>
      <w:r>
        <w:rPr>
          <w:rFonts w:ascii="Times New Roman" w:eastAsia="Times New Roman" w:hAnsi="Times New Roman" w:cs="Times New Roman"/>
          <w:sz w:val="24"/>
        </w:rPr>
        <w:t xml:space="preserve"> anti-Semitism is difficult to minimize or to explain away—and its sheer volume can be quantified by a number of metrics. In World War II-era France, for instance, Sorbonne professor Henri Labroue curried favor with the occupying German regime by compiling a volume of </w:t>
      </w:r>
      <w:r w:rsidR="009A1741">
        <w:rPr>
          <w:rFonts w:ascii="Times New Roman" w:eastAsia="Times New Roman" w:hAnsi="Times New Roman" w:cs="Times New Roman"/>
          <w:sz w:val="24"/>
        </w:rPr>
        <w:t>Voltaire’s</w:t>
      </w:r>
      <w:r>
        <w:rPr>
          <w:rFonts w:ascii="Times New Roman" w:eastAsia="Times New Roman" w:hAnsi="Times New Roman" w:cs="Times New Roman"/>
          <w:sz w:val="24"/>
        </w:rPr>
        <w:t xml:space="preserve"> anti-Jewish writings; it ran to</w:t>
      </w:r>
      <w:r w:rsidR="00343257">
        <w:rPr>
          <w:rFonts w:ascii="Times New Roman" w:eastAsia="Times New Roman" w:hAnsi="Times New Roman" w:cs="Times New Roman"/>
          <w:sz w:val="24"/>
        </w:rPr>
        <w:t xml:space="preserve"> nearly</w:t>
      </w:r>
      <w:r>
        <w:rPr>
          <w:rFonts w:ascii="Times New Roman" w:eastAsia="Times New Roman" w:hAnsi="Times New Roman" w:cs="Times New Roman"/>
          <w:sz w:val="24"/>
        </w:rPr>
        <w:t xml:space="preserve"> 250 pages.</w:t>
      </w:r>
      <w:r>
        <w:rPr>
          <w:rFonts w:ascii="Times New Roman" w:eastAsia="Times New Roman" w:hAnsi="Times New Roman" w:cs="Times New Roman"/>
          <w:sz w:val="24"/>
          <w:vertAlign w:val="superscript"/>
        </w:rPr>
        <w:footnoteReference w:id="7"/>
      </w:r>
      <w:r>
        <w:rPr>
          <w:rFonts w:ascii="Times New Roman" w:eastAsia="Times New Roman" w:hAnsi="Times New Roman" w:cs="Times New Roman"/>
          <w:sz w:val="24"/>
        </w:rPr>
        <w:t xml:space="preserve"> Another mark of his </w:t>
      </w:r>
      <w:r w:rsidR="009A1741">
        <w:rPr>
          <w:rFonts w:ascii="Times New Roman" w:eastAsia="Times New Roman" w:hAnsi="Times New Roman" w:cs="Times New Roman"/>
          <w:sz w:val="24"/>
        </w:rPr>
        <w:t>“</w:t>
      </w:r>
      <w:r>
        <w:rPr>
          <w:rFonts w:ascii="Times New Roman" w:eastAsia="Times New Roman" w:hAnsi="Times New Roman" w:cs="Times New Roman"/>
          <w:sz w:val="24"/>
        </w:rPr>
        <w:t>obsession</w:t>
      </w:r>
      <w:r w:rsidR="009A1741">
        <w:rPr>
          <w:rFonts w:ascii="Times New Roman" w:eastAsia="Times New Roman" w:hAnsi="Times New Roman" w:cs="Times New Roman"/>
          <w:sz w:val="24"/>
        </w:rPr>
        <w:t>”</w:t>
      </w:r>
      <w:r>
        <w:rPr>
          <w:rFonts w:ascii="Times New Roman" w:eastAsia="Times New Roman" w:hAnsi="Times New Roman" w:cs="Times New Roman"/>
          <w:sz w:val="24"/>
        </w:rPr>
        <w:t xml:space="preserve"> with Jews came in his 1764 </w:t>
      </w:r>
      <w:r>
        <w:rPr>
          <w:rFonts w:ascii="Times New Roman" w:eastAsia="Times New Roman" w:hAnsi="Times New Roman" w:cs="Times New Roman"/>
          <w:i/>
          <w:sz w:val="24"/>
        </w:rPr>
        <w:t>Philosophical Dictionary</w:t>
      </w:r>
      <w:r>
        <w:rPr>
          <w:rFonts w:ascii="Times New Roman" w:eastAsia="Times New Roman" w:hAnsi="Times New Roman" w:cs="Times New Roman"/>
          <w:sz w:val="24"/>
        </w:rPr>
        <w:t xml:space="preserve">, a work of purportedly wider scope: some </w:t>
      </w:r>
      <w:r w:rsidR="003A5E90">
        <w:rPr>
          <w:rFonts w:ascii="Times New Roman" w:eastAsia="Times New Roman" w:hAnsi="Times New Roman" w:cs="Times New Roman"/>
          <w:sz w:val="24"/>
        </w:rPr>
        <w:t>thirty</w:t>
      </w:r>
      <w:r>
        <w:rPr>
          <w:rFonts w:ascii="Times New Roman" w:eastAsia="Times New Roman" w:hAnsi="Times New Roman" w:cs="Times New Roman"/>
          <w:sz w:val="24"/>
        </w:rPr>
        <w:t xml:space="preserve"> out of its 118 articles attack Jews, and the article </w:t>
      </w:r>
      <w:r w:rsidR="009A1741">
        <w:rPr>
          <w:rFonts w:ascii="Times New Roman" w:eastAsia="Times New Roman" w:hAnsi="Times New Roman" w:cs="Times New Roman"/>
          <w:sz w:val="24"/>
        </w:rPr>
        <w:t>“</w:t>
      </w:r>
      <w:r>
        <w:rPr>
          <w:rFonts w:ascii="Times New Roman" w:eastAsia="Times New Roman" w:hAnsi="Times New Roman" w:cs="Times New Roman"/>
          <w:sz w:val="24"/>
        </w:rPr>
        <w:t>Jew</w:t>
      </w:r>
      <w:r w:rsidR="009A1741">
        <w:rPr>
          <w:rFonts w:ascii="Times New Roman" w:eastAsia="Times New Roman" w:hAnsi="Times New Roman" w:cs="Times New Roman"/>
          <w:sz w:val="24"/>
        </w:rPr>
        <w:t>”</w:t>
      </w:r>
      <w:r>
        <w:rPr>
          <w:rFonts w:ascii="Times New Roman" w:eastAsia="Times New Roman" w:hAnsi="Times New Roman" w:cs="Times New Roman"/>
          <w:sz w:val="24"/>
        </w:rPr>
        <w:t xml:space="preserve"> is the single longest.</w:t>
      </w:r>
      <w:r>
        <w:rPr>
          <w:rFonts w:ascii="Times New Roman" w:eastAsia="Times New Roman" w:hAnsi="Times New Roman" w:cs="Times New Roman"/>
          <w:sz w:val="24"/>
          <w:vertAlign w:val="superscript"/>
        </w:rPr>
        <w:footnoteReference w:id="8"/>
      </w:r>
      <w:r>
        <w:rPr>
          <w:rFonts w:ascii="Times New Roman" w:eastAsia="Times New Roman" w:hAnsi="Times New Roman" w:cs="Times New Roman"/>
          <w:sz w:val="24"/>
        </w:rPr>
        <w:t xml:space="preserve"> Remarkably, a search by Ronald Schechter of the ARTFL database of French literature shows Voltaire accounting for 922 separate mentions of </w:t>
      </w:r>
      <w:r w:rsidR="009A1741">
        <w:rPr>
          <w:rFonts w:ascii="Times New Roman" w:eastAsia="Times New Roman" w:hAnsi="Times New Roman" w:cs="Times New Roman"/>
          <w:sz w:val="24"/>
        </w:rPr>
        <w:t>“</w:t>
      </w:r>
      <w:r>
        <w:rPr>
          <w:rFonts w:ascii="Times New Roman" w:eastAsia="Times New Roman" w:hAnsi="Times New Roman" w:cs="Times New Roman"/>
          <w:i/>
          <w:sz w:val="24"/>
        </w:rPr>
        <w:t>juif[s]</w:t>
      </w:r>
      <w:r w:rsidR="009A1741">
        <w:rPr>
          <w:rFonts w:ascii="Times New Roman" w:eastAsia="Times New Roman" w:hAnsi="Times New Roman" w:cs="Times New Roman"/>
          <w:sz w:val="24"/>
        </w:rPr>
        <w:t>”</w:t>
      </w:r>
      <w:r>
        <w:rPr>
          <w:rFonts w:ascii="Times New Roman" w:eastAsia="Times New Roman" w:hAnsi="Times New Roman" w:cs="Times New Roman"/>
          <w:sz w:val="24"/>
        </w:rPr>
        <w:t xml:space="preserve"> or </w:t>
      </w:r>
      <w:r w:rsidR="009A1741">
        <w:rPr>
          <w:rFonts w:ascii="Times New Roman" w:eastAsia="Times New Roman" w:hAnsi="Times New Roman" w:cs="Times New Roman"/>
          <w:sz w:val="24"/>
        </w:rPr>
        <w:t>“</w:t>
      </w:r>
      <w:r>
        <w:rPr>
          <w:rFonts w:ascii="Times New Roman" w:eastAsia="Times New Roman" w:hAnsi="Times New Roman" w:cs="Times New Roman"/>
          <w:i/>
          <w:sz w:val="24"/>
        </w:rPr>
        <w:t>juive[s]</w:t>
      </w:r>
      <w:r w:rsidR="009A1741">
        <w:rPr>
          <w:rFonts w:ascii="Times New Roman" w:eastAsia="Times New Roman" w:hAnsi="Times New Roman" w:cs="Times New Roman"/>
          <w:sz w:val="24"/>
        </w:rPr>
        <w:t>,”</w:t>
      </w:r>
      <w:r>
        <w:rPr>
          <w:rFonts w:ascii="Times New Roman" w:eastAsia="Times New Roman" w:hAnsi="Times New Roman" w:cs="Times New Roman"/>
          <w:sz w:val="24"/>
        </w:rPr>
        <w:t xml:space="preserve"> nearly forty percent of the database</w:t>
      </w:r>
      <w:r w:rsidR="009A1741">
        <w:rPr>
          <w:rFonts w:ascii="Times New Roman" w:eastAsia="Times New Roman" w:hAnsi="Times New Roman" w:cs="Times New Roman"/>
          <w:sz w:val="24"/>
        </w:rPr>
        <w:t>’</w:t>
      </w:r>
      <w:r>
        <w:rPr>
          <w:rFonts w:ascii="Times New Roman" w:eastAsia="Times New Roman" w:hAnsi="Times New Roman" w:cs="Times New Roman"/>
          <w:sz w:val="24"/>
        </w:rPr>
        <w:t xml:space="preserve">s total over the entire </w:t>
      </w:r>
      <w:r w:rsidR="002F5D7D">
        <w:rPr>
          <w:rFonts w:ascii="Times New Roman" w:eastAsia="Times New Roman" w:hAnsi="Times New Roman" w:cs="Times New Roman"/>
          <w:sz w:val="24"/>
        </w:rPr>
        <w:t>eighteenth</w:t>
      </w:r>
      <w:r>
        <w:rPr>
          <w:rFonts w:ascii="Times New Roman" w:eastAsia="Times New Roman" w:hAnsi="Times New Roman" w:cs="Times New Roman"/>
          <w:sz w:val="24"/>
        </w:rPr>
        <w:t xml:space="preserve"> century.</w:t>
      </w:r>
      <w:r>
        <w:rPr>
          <w:rFonts w:ascii="Times New Roman" w:eastAsia="Times New Roman" w:hAnsi="Times New Roman" w:cs="Times New Roman"/>
          <w:sz w:val="24"/>
          <w:vertAlign w:val="superscript"/>
        </w:rPr>
        <w:footnoteReference w:id="9"/>
      </w:r>
    </w:p>
    <w:p w14:paraId="7670D826" w14:textId="4767F8FA" w:rsidR="002F566E" w:rsidRDefault="004D3EAE" w:rsidP="00411136">
      <w:pPr>
        <w:pStyle w:val="normal0"/>
        <w:spacing w:line="240" w:lineRule="auto"/>
        <w:ind w:firstLine="720"/>
        <w:contextualSpacing w:val="0"/>
      </w:pPr>
      <w:r>
        <w:rPr>
          <w:rFonts w:ascii="Times New Roman" w:eastAsia="Times New Roman" w:hAnsi="Times New Roman" w:cs="Times New Roman"/>
          <w:sz w:val="24"/>
        </w:rPr>
        <w:lastRenderedPageBreak/>
        <w:t xml:space="preserve">To be sure, not all of </w:t>
      </w:r>
      <w:r w:rsidR="009A1741">
        <w:rPr>
          <w:rFonts w:ascii="Times New Roman" w:eastAsia="Times New Roman" w:hAnsi="Times New Roman" w:cs="Times New Roman"/>
          <w:sz w:val="24"/>
        </w:rPr>
        <w:t>Voltaire’s</w:t>
      </w:r>
      <w:r>
        <w:rPr>
          <w:rFonts w:ascii="Times New Roman" w:eastAsia="Times New Roman" w:hAnsi="Times New Roman" w:cs="Times New Roman"/>
          <w:sz w:val="24"/>
        </w:rPr>
        <w:t xml:space="preserve"> references to Jews are negative. For instance, his 1761 pamphlet </w:t>
      </w:r>
      <w:r w:rsidR="009A1741">
        <w:rPr>
          <w:rFonts w:ascii="Times New Roman" w:eastAsia="Times New Roman" w:hAnsi="Times New Roman" w:cs="Times New Roman"/>
          <w:sz w:val="24"/>
        </w:rPr>
        <w:t>“</w:t>
      </w:r>
      <w:r>
        <w:rPr>
          <w:rFonts w:ascii="Times New Roman" w:eastAsia="Times New Roman" w:hAnsi="Times New Roman" w:cs="Times New Roman"/>
          <w:sz w:val="24"/>
        </w:rPr>
        <w:t>Sermon of Rabbi Akiba</w:t>
      </w:r>
      <w:r w:rsidR="009A1741">
        <w:rPr>
          <w:rFonts w:ascii="Times New Roman" w:eastAsia="Times New Roman" w:hAnsi="Times New Roman" w:cs="Times New Roman"/>
          <w:sz w:val="24"/>
        </w:rPr>
        <w:t>”</w:t>
      </w:r>
      <w:r>
        <w:rPr>
          <w:rFonts w:ascii="Times New Roman" w:eastAsia="Times New Roman" w:hAnsi="Times New Roman" w:cs="Times New Roman"/>
          <w:sz w:val="24"/>
        </w:rPr>
        <w:t xml:space="preserve"> puts in the mouth of a Jewish speaker a denunciation of the Portuguese Inquisition.</w:t>
      </w:r>
      <w:r>
        <w:rPr>
          <w:rFonts w:ascii="Times New Roman" w:eastAsia="Times New Roman" w:hAnsi="Times New Roman" w:cs="Times New Roman"/>
          <w:sz w:val="24"/>
          <w:vertAlign w:val="superscript"/>
        </w:rPr>
        <w:footnoteReference w:id="10"/>
      </w:r>
      <w:r>
        <w:rPr>
          <w:rFonts w:ascii="Times New Roman" w:eastAsia="Times New Roman" w:hAnsi="Times New Roman" w:cs="Times New Roman"/>
          <w:sz w:val="24"/>
        </w:rPr>
        <w:t xml:space="preserve"> The </w:t>
      </w:r>
      <w:r>
        <w:rPr>
          <w:rFonts w:ascii="Times New Roman" w:eastAsia="Times New Roman" w:hAnsi="Times New Roman" w:cs="Times New Roman"/>
          <w:i/>
          <w:sz w:val="24"/>
        </w:rPr>
        <w:t>Dictionary</w:t>
      </w:r>
      <w:r>
        <w:rPr>
          <w:rFonts w:ascii="Times New Roman" w:eastAsia="Times New Roman" w:hAnsi="Times New Roman" w:cs="Times New Roman"/>
          <w:sz w:val="24"/>
        </w:rPr>
        <w:t xml:space="preserve"> entry on </w:t>
      </w:r>
      <w:r w:rsidR="009A1741">
        <w:rPr>
          <w:rFonts w:ascii="Times New Roman" w:eastAsia="Times New Roman" w:hAnsi="Times New Roman" w:cs="Times New Roman"/>
          <w:sz w:val="24"/>
        </w:rPr>
        <w:t>“</w:t>
      </w:r>
      <w:r>
        <w:rPr>
          <w:rFonts w:ascii="Times New Roman" w:eastAsia="Times New Roman" w:hAnsi="Times New Roman" w:cs="Times New Roman"/>
          <w:sz w:val="24"/>
        </w:rPr>
        <w:t>Jew</w:t>
      </w:r>
      <w:r w:rsidR="009A1741">
        <w:rPr>
          <w:rFonts w:ascii="Times New Roman" w:eastAsia="Times New Roman" w:hAnsi="Times New Roman" w:cs="Times New Roman"/>
          <w:sz w:val="24"/>
        </w:rPr>
        <w:t>”</w:t>
      </w:r>
      <w:r>
        <w:rPr>
          <w:rFonts w:ascii="Times New Roman" w:eastAsia="Times New Roman" w:hAnsi="Times New Roman" w:cs="Times New Roman"/>
          <w:sz w:val="24"/>
        </w:rPr>
        <w:t xml:space="preserve">—after allowing that the Jews are </w:t>
      </w:r>
      <w:r w:rsidR="009A1741">
        <w:rPr>
          <w:rFonts w:ascii="Times New Roman" w:eastAsia="Times New Roman" w:hAnsi="Times New Roman" w:cs="Times New Roman"/>
          <w:sz w:val="24"/>
        </w:rPr>
        <w:t>“</w:t>
      </w:r>
      <w:r>
        <w:rPr>
          <w:rFonts w:ascii="Times New Roman" w:eastAsia="Times New Roman" w:hAnsi="Times New Roman" w:cs="Times New Roman"/>
          <w:sz w:val="24"/>
        </w:rPr>
        <w:t>an ignorant and barbarous people, who have long united the most sordid avarice with the most detestable superstition and the most invincible hatred for every people by whom they are tolerated and enriched</w:t>
      </w:r>
      <w:r w:rsidR="009A1741">
        <w:rPr>
          <w:rFonts w:ascii="Times New Roman" w:eastAsia="Times New Roman" w:hAnsi="Times New Roman" w:cs="Times New Roman"/>
          <w:sz w:val="24"/>
        </w:rPr>
        <w:t>”</w:t>
      </w:r>
      <w:r>
        <w:rPr>
          <w:rFonts w:ascii="Times New Roman" w:eastAsia="Times New Roman" w:hAnsi="Times New Roman" w:cs="Times New Roman"/>
          <w:sz w:val="24"/>
        </w:rPr>
        <w:t xml:space="preserve">—charitably concludes: </w:t>
      </w:r>
      <w:r w:rsidR="009A1741">
        <w:rPr>
          <w:rFonts w:ascii="Times New Roman" w:eastAsia="Times New Roman" w:hAnsi="Times New Roman" w:cs="Times New Roman"/>
          <w:sz w:val="24"/>
        </w:rPr>
        <w:t>“</w:t>
      </w:r>
      <w:r>
        <w:rPr>
          <w:rFonts w:ascii="Times New Roman" w:eastAsia="Times New Roman" w:hAnsi="Times New Roman" w:cs="Times New Roman"/>
          <w:sz w:val="24"/>
        </w:rPr>
        <w:t>Still, we ought not to burn them</w:t>
      </w:r>
      <w:r w:rsidR="009A1741">
        <w:rPr>
          <w:rFonts w:ascii="Times New Roman" w:eastAsia="Times New Roman" w:hAnsi="Times New Roman" w:cs="Times New Roman"/>
          <w:sz w:val="24"/>
        </w:rPr>
        <w:t>.”</w:t>
      </w:r>
      <w:r>
        <w:rPr>
          <w:rFonts w:ascii="Times New Roman" w:eastAsia="Times New Roman" w:hAnsi="Times New Roman" w:cs="Times New Roman"/>
          <w:sz w:val="24"/>
          <w:vertAlign w:val="superscript"/>
        </w:rPr>
        <w:footnoteReference w:id="11"/>
      </w:r>
      <w:r>
        <w:rPr>
          <w:rFonts w:ascii="Times New Roman" w:eastAsia="Times New Roman" w:hAnsi="Times New Roman" w:cs="Times New Roman"/>
          <w:sz w:val="24"/>
        </w:rPr>
        <w:t xml:space="preserve"> And in an exchange with the Sephardic Jewish writer Isaac de Pinto, Voltaire conceded that a minority of assimilated Jews might qualify as philosophers.</w:t>
      </w:r>
      <w:r>
        <w:rPr>
          <w:rFonts w:ascii="Times New Roman" w:eastAsia="Times New Roman" w:hAnsi="Times New Roman" w:cs="Times New Roman"/>
          <w:sz w:val="24"/>
          <w:vertAlign w:val="superscript"/>
        </w:rPr>
        <w:footnoteReference w:id="12"/>
      </w:r>
    </w:p>
    <w:p w14:paraId="622123F0" w14:textId="61F6CE6F" w:rsidR="002F566E" w:rsidRDefault="004D3EAE" w:rsidP="00411136">
      <w:pPr>
        <w:pStyle w:val="normal0"/>
        <w:spacing w:line="240" w:lineRule="auto"/>
        <w:ind w:firstLine="720"/>
        <w:contextualSpacing w:val="0"/>
      </w:pPr>
      <w:r>
        <w:rPr>
          <w:rFonts w:ascii="Times New Roman" w:eastAsia="Times New Roman" w:hAnsi="Times New Roman" w:cs="Times New Roman"/>
          <w:sz w:val="24"/>
        </w:rPr>
        <w:t xml:space="preserve">Yet, despite his opposition to violent persecution of religious minorities, it is still fair to examine Voltaire as a fundamentally anti-Semitic thinker. In one respect, as Arnold Ages argues, it is a question of volume: </w:t>
      </w:r>
      <w:r w:rsidR="009A1741">
        <w:rPr>
          <w:rFonts w:ascii="Times New Roman" w:eastAsia="Times New Roman" w:hAnsi="Times New Roman" w:cs="Times New Roman"/>
          <w:sz w:val="24"/>
        </w:rPr>
        <w:t>Voltaire’s</w:t>
      </w:r>
      <w:r>
        <w:rPr>
          <w:rFonts w:ascii="Times New Roman" w:eastAsia="Times New Roman" w:hAnsi="Times New Roman" w:cs="Times New Roman"/>
          <w:sz w:val="24"/>
        </w:rPr>
        <w:t xml:space="preserve"> moments of tolerance are </w:t>
      </w:r>
      <w:r w:rsidR="009A1741">
        <w:rPr>
          <w:rFonts w:ascii="Times New Roman" w:eastAsia="Times New Roman" w:hAnsi="Times New Roman" w:cs="Times New Roman"/>
          <w:sz w:val="24"/>
        </w:rPr>
        <w:t>“</w:t>
      </w:r>
      <w:r>
        <w:rPr>
          <w:rFonts w:ascii="Times New Roman" w:eastAsia="Times New Roman" w:hAnsi="Times New Roman" w:cs="Times New Roman"/>
          <w:sz w:val="24"/>
        </w:rPr>
        <w:t>an almost barely discernible background radiation when compared to the vastness of his verbal assaults on Jews and Judaism</w:t>
      </w:r>
      <w:r w:rsidR="009A1741">
        <w:rPr>
          <w:rFonts w:ascii="Times New Roman" w:eastAsia="Times New Roman" w:hAnsi="Times New Roman" w:cs="Times New Roman"/>
          <w:sz w:val="24"/>
        </w:rPr>
        <w:t>.”</w:t>
      </w:r>
      <w:r>
        <w:rPr>
          <w:rFonts w:ascii="Times New Roman" w:eastAsia="Times New Roman" w:hAnsi="Times New Roman" w:cs="Times New Roman"/>
          <w:sz w:val="24"/>
          <w:vertAlign w:val="superscript"/>
        </w:rPr>
        <w:footnoteReference w:id="13"/>
      </w:r>
      <w:r>
        <w:rPr>
          <w:rFonts w:ascii="Times New Roman" w:eastAsia="Times New Roman" w:hAnsi="Times New Roman" w:cs="Times New Roman"/>
          <w:sz w:val="24"/>
        </w:rPr>
        <w:t xml:space="preserve"> More to the point, Voltaire was regarded as France</w:t>
      </w:r>
      <w:r w:rsidR="009A1741">
        <w:rPr>
          <w:rFonts w:ascii="Times New Roman" w:eastAsia="Times New Roman" w:hAnsi="Times New Roman" w:cs="Times New Roman"/>
          <w:sz w:val="24"/>
        </w:rPr>
        <w:t>’</w:t>
      </w:r>
      <w:r>
        <w:rPr>
          <w:rFonts w:ascii="Times New Roman" w:eastAsia="Times New Roman" w:hAnsi="Times New Roman" w:cs="Times New Roman"/>
          <w:sz w:val="24"/>
        </w:rPr>
        <w:t xml:space="preserve">s leading intellectual anti-Semite by his own contemporaries. Arthur Hertzberg, for instance, investigates a wide range of French writings on the </w:t>
      </w:r>
      <w:r w:rsidR="009A1741">
        <w:rPr>
          <w:rFonts w:ascii="Times New Roman" w:eastAsia="Times New Roman" w:hAnsi="Times New Roman" w:cs="Times New Roman"/>
          <w:sz w:val="24"/>
        </w:rPr>
        <w:t>“</w:t>
      </w:r>
      <w:r>
        <w:rPr>
          <w:rFonts w:ascii="Times New Roman" w:eastAsia="Times New Roman" w:hAnsi="Times New Roman" w:cs="Times New Roman"/>
          <w:sz w:val="24"/>
        </w:rPr>
        <w:t>Jewish question</w:t>
      </w:r>
      <w:r w:rsidR="009A1741">
        <w:rPr>
          <w:rFonts w:ascii="Times New Roman" w:eastAsia="Times New Roman" w:hAnsi="Times New Roman" w:cs="Times New Roman"/>
          <w:sz w:val="24"/>
        </w:rPr>
        <w:t>”</w:t>
      </w:r>
      <w:r>
        <w:rPr>
          <w:rFonts w:ascii="Times New Roman" w:eastAsia="Times New Roman" w:hAnsi="Times New Roman" w:cs="Times New Roman"/>
          <w:sz w:val="24"/>
        </w:rPr>
        <w:t xml:space="preserve">: while </w:t>
      </w:r>
      <w:r w:rsidR="002F5D7D">
        <w:rPr>
          <w:rFonts w:ascii="Times New Roman" w:eastAsia="Times New Roman" w:hAnsi="Times New Roman" w:cs="Times New Roman"/>
          <w:sz w:val="24"/>
        </w:rPr>
        <w:t>eighteenth</w:t>
      </w:r>
      <w:r>
        <w:rPr>
          <w:rFonts w:ascii="Times New Roman" w:eastAsia="Times New Roman" w:hAnsi="Times New Roman" w:cs="Times New Roman"/>
          <w:sz w:val="24"/>
        </w:rPr>
        <w:t xml:space="preserve">-century anti-Semites borrowed liberally from </w:t>
      </w:r>
      <w:r w:rsidR="009A1741">
        <w:rPr>
          <w:rFonts w:ascii="Times New Roman" w:eastAsia="Times New Roman" w:hAnsi="Times New Roman" w:cs="Times New Roman"/>
          <w:sz w:val="24"/>
        </w:rPr>
        <w:t>Voltaire’s</w:t>
      </w:r>
      <w:r>
        <w:rPr>
          <w:rFonts w:ascii="Times New Roman" w:eastAsia="Times New Roman" w:hAnsi="Times New Roman" w:cs="Times New Roman"/>
          <w:sz w:val="24"/>
        </w:rPr>
        <w:t xml:space="preserve"> arguments, a number of pro-toleration pamphlets—including works by Pinto and by the Catholic priest Antoine Guénée—criticized Voltaire harshly and directly. As Hertzberg concludes, </w:t>
      </w:r>
      <w:r w:rsidR="009A1741">
        <w:rPr>
          <w:rFonts w:ascii="Times New Roman" w:eastAsia="Times New Roman" w:hAnsi="Times New Roman" w:cs="Times New Roman"/>
          <w:sz w:val="24"/>
        </w:rPr>
        <w:t>“</w:t>
      </w:r>
      <w:r>
        <w:rPr>
          <w:rFonts w:ascii="Times New Roman" w:eastAsia="Times New Roman" w:hAnsi="Times New Roman" w:cs="Times New Roman"/>
          <w:sz w:val="24"/>
        </w:rPr>
        <w:t>overwhelming evidence shows that both Jews and gentiles...unanimously regarded Voltaire as the enemy not only of biblical Judaism but of the struggling Jews of his own day</w:t>
      </w:r>
      <w:r w:rsidR="009A1741">
        <w:rPr>
          <w:rFonts w:ascii="Times New Roman" w:eastAsia="Times New Roman" w:hAnsi="Times New Roman" w:cs="Times New Roman"/>
          <w:sz w:val="24"/>
        </w:rPr>
        <w:t>.”</w:t>
      </w:r>
      <w:r>
        <w:rPr>
          <w:rFonts w:ascii="Times New Roman" w:eastAsia="Times New Roman" w:hAnsi="Times New Roman" w:cs="Times New Roman"/>
          <w:sz w:val="24"/>
          <w:vertAlign w:val="superscript"/>
        </w:rPr>
        <w:footnoteReference w:id="14"/>
      </w:r>
      <w:r>
        <w:rPr>
          <w:rFonts w:ascii="Times New Roman" w:eastAsia="Times New Roman" w:hAnsi="Times New Roman" w:cs="Times New Roman"/>
          <w:sz w:val="24"/>
        </w:rPr>
        <w:t xml:space="preserve"> Given the centrality of such themes to </w:t>
      </w:r>
      <w:r w:rsidR="009A1741">
        <w:rPr>
          <w:rFonts w:ascii="Times New Roman" w:eastAsia="Times New Roman" w:hAnsi="Times New Roman" w:cs="Times New Roman"/>
          <w:sz w:val="24"/>
        </w:rPr>
        <w:t>Voltaire’s</w:t>
      </w:r>
      <w:r>
        <w:rPr>
          <w:rFonts w:ascii="Times New Roman" w:eastAsia="Times New Roman" w:hAnsi="Times New Roman" w:cs="Times New Roman"/>
          <w:sz w:val="24"/>
        </w:rPr>
        <w:t xml:space="preserve"> work—especially, as I will argue, to his position on commerce—it is difficult to disagree with the summation offered by Shmuel Feiner: </w:t>
      </w:r>
      <w:r w:rsidR="009A1741">
        <w:rPr>
          <w:rFonts w:ascii="Times New Roman" w:eastAsia="Times New Roman" w:hAnsi="Times New Roman" w:cs="Times New Roman"/>
          <w:sz w:val="24"/>
        </w:rPr>
        <w:t>“</w:t>
      </w:r>
      <w:r>
        <w:rPr>
          <w:rFonts w:ascii="Times New Roman" w:eastAsia="Times New Roman" w:hAnsi="Times New Roman" w:cs="Times New Roman"/>
          <w:sz w:val="24"/>
        </w:rPr>
        <w:t xml:space="preserve">Judaism fills such a central place in </w:t>
      </w:r>
      <w:r w:rsidR="009A1741">
        <w:rPr>
          <w:rFonts w:ascii="Times New Roman" w:eastAsia="Times New Roman" w:hAnsi="Times New Roman" w:cs="Times New Roman"/>
          <w:sz w:val="24"/>
        </w:rPr>
        <w:t>Voltaire’s</w:t>
      </w:r>
      <w:r>
        <w:rPr>
          <w:rFonts w:ascii="Times New Roman" w:eastAsia="Times New Roman" w:hAnsi="Times New Roman" w:cs="Times New Roman"/>
          <w:sz w:val="24"/>
        </w:rPr>
        <w:t xml:space="preserve"> thought and politics that one cannot relegate it to the sidelines</w:t>
      </w:r>
      <w:r w:rsidR="009A1741">
        <w:rPr>
          <w:rFonts w:ascii="Times New Roman" w:eastAsia="Times New Roman" w:hAnsi="Times New Roman" w:cs="Times New Roman"/>
          <w:sz w:val="24"/>
        </w:rPr>
        <w:t>.”</w:t>
      </w:r>
      <w:r>
        <w:rPr>
          <w:rFonts w:ascii="Times New Roman" w:eastAsia="Times New Roman" w:hAnsi="Times New Roman" w:cs="Times New Roman"/>
          <w:sz w:val="24"/>
          <w:vertAlign w:val="superscript"/>
        </w:rPr>
        <w:footnoteReference w:id="15"/>
      </w:r>
    </w:p>
    <w:p w14:paraId="2C6C8B06" w14:textId="265F8361" w:rsidR="002F566E" w:rsidRDefault="004D3EAE" w:rsidP="00411136">
      <w:pPr>
        <w:pStyle w:val="normal0"/>
        <w:spacing w:line="240" w:lineRule="auto"/>
        <w:ind w:firstLine="720"/>
        <w:contextualSpacing w:val="0"/>
      </w:pPr>
      <w:r>
        <w:rPr>
          <w:rFonts w:ascii="Times New Roman" w:eastAsia="Times New Roman" w:hAnsi="Times New Roman" w:cs="Times New Roman"/>
          <w:sz w:val="24"/>
        </w:rPr>
        <w:t xml:space="preserve">Still, the question remains: exactly what place? Efforts to locate the source </w:t>
      </w:r>
      <w:r w:rsidR="009A1741">
        <w:rPr>
          <w:rFonts w:ascii="Times New Roman" w:eastAsia="Times New Roman" w:hAnsi="Times New Roman" w:cs="Times New Roman"/>
          <w:sz w:val="24"/>
        </w:rPr>
        <w:t>Voltaire’s</w:t>
      </w:r>
      <w:r>
        <w:rPr>
          <w:rFonts w:ascii="Times New Roman" w:eastAsia="Times New Roman" w:hAnsi="Times New Roman" w:cs="Times New Roman"/>
          <w:sz w:val="24"/>
        </w:rPr>
        <w:t xml:space="preserve"> anti-Semitism, and to situate it within his broader thought, could be classified on a scale from more to less forgiving. A comparatively forgiving interpretation argues that Voltaire, secularist though he was, was simply the product of a religious education of the kind that made suspicion of Jews a common European currency.</w:t>
      </w:r>
      <w:r>
        <w:rPr>
          <w:rFonts w:ascii="Times New Roman" w:eastAsia="Times New Roman" w:hAnsi="Times New Roman" w:cs="Times New Roman"/>
          <w:sz w:val="24"/>
          <w:vertAlign w:val="superscript"/>
        </w:rPr>
        <w:footnoteReference w:id="16"/>
      </w:r>
      <w:r>
        <w:rPr>
          <w:rFonts w:ascii="Times New Roman" w:eastAsia="Times New Roman" w:hAnsi="Times New Roman" w:cs="Times New Roman"/>
          <w:sz w:val="24"/>
        </w:rPr>
        <w:t xml:space="preserve"> Difficult as this </w:t>
      </w:r>
      <w:r>
        <w:rPr>
          <w:rFonts w:ascii="Times New Roman" w:eastAsia="Times New Roman" w:hAnsi="Times New Roman" w:cs="Times New Roman"/>
          <w:sz w:val="24"/>
        </w:rPr>
        <w:lastRenderedPageBreak/>
        <w:t>claim is to disprove, it still raises the question of why Voltaire, far more than most contemporary writers to receive a similar upbringing, dealt so exhaustively with Jewish topics. Perhaps, then, his animosity grew from bad personal experiences with Jews: in 1726, for instance, he lost 20,000 francs when his Jewish banker went bankrupt, and in 1750-51, he was involved in an acrimonious financial dispute and lawsuit with a Jewish investor in Berlin.</w:t>
      </w:r>
      <w:r>
        <w:rPr>
          <w:rFonts w:ascii="Times New Roman" w:eastAsia="Times New Roman" w:hAnsi="Times New Roman" w:cs="Times New Roman"/>
          <w:sz w:val="24"/>
          <w:vertAlign w:val="superscript"/>
        </w:rPr>
        <w:footnoteReference w:id="17"/>
      </w:r>
      <w:r>
        <w:rPr>
          <w:rFonts w:ascii="Times New Roman" w:eastAsia="Times New Roman" w:hAnsi="Times New Roman" w:cs="Times New Roman"/>
          <w:sz w:val="24"/>
        </w:rPr>
        <w:t xml:space="preserve"> But while these incidents may have added intensity to </w:t>
      </w:r>
      <w:r w:rsidR="009A1741">
        <w:rPr>
          <w:rFonts w:ascii="Times New Roman" w:eastAsia="Times New Roman" w:hAnsi="Times New Roman" w:cs="Times New Roman"/>
          <w:sz w:val="24"/>
        </w:rPr>
        <w:t>Voltaire’s</w:t>
      </w:r>
      <w:r>
        <w:rPr>
          <w:rFonts w:ascii="Times New Roman" w:eastAsia="Times New Roman" w:hAnsi="Times New Roman" w:cs="Times New Roman"/>
          <w:sz w:val="24"/>
        </w:rPr>
        <w:t xml:space="preserve"> prejudice, they are also an insufficient explanation: for one, </w:t>
      </w:r>
      <w:r w:rsidR="009A1741">
        <w:rPr>
          <w:rFonts w:ascii="Times New Roman" w:eastAsia="Times New Roman" w:hAnsi="Times New Roman" w:cs="Times New Roman"/>
          <w:sz w:val="24"/>
        </w:rPr>
        <w:t>Voltaire’s</w:t>
      </w:r>
      <w:r>
        <w:rPr>
          <w:rFonts w:ascii="Times New Roman" w:eastAsia="Times New Roman" w:hAnsi="Times New Roman" w:cs="Times New Roman"/>
          <w:sz w:val="24"/>
        </w:rPr>
        <w:t xml:space="preserve"> anti-Semitic writing predates his 1726 loss; further, Voltaire himself claimed that he had easily forgiven larger losses at the hands of gentile bankers.</w:t>
      </w:r>
      <w:r>
        <w:rPr>
          <w:rFonts w:ascii="Times New Roman" w:eastAsia="Times New Roman" w:hAnsi="Times New Roman" w:cs="Times New Roman"/>
          <w:sz w:val="24"/>
          <w:vertAlign w:val="superscript"/>
        </w:rPr>
        <w:footnoteReference w:id="18"/>
      </w:r>
    </w:p>
    <w:p w14:paraId="5B1E410A" w14:textId="2C8525C8" w:rsidR="002F566E" w:rsidRDefault="004D3EAE" w:rsidP="00411136">
      <w:pPr>
        <w:pStyle w:val="normal0"/>
        <w:spacing w:line="240" w:lineRule="auto"/>
        <w:ind w:firstLine="720"/>
        <w:contextualSpacing w:val="0"/>
      </w:pPr>
      <w:r>
        <w:rPr>
          <w:rFonts w:ascii="Times New Roman" w:eastAsia="Times New Roman" w:hAnsi="Times New Roman" w:cs="Times New Roman"/>
          <w:sz w:val="24"/>
        </w:rPr>
        <w:t xml:space="preserve">Among non-biographical explanations, the more forgiving account offered by Peter Gay insists that </w:t>
      </w:r>
      <w:r w:rsidR="009A1741">
        <w:rPr>
          <w:rFonts w:ascii="Times New Roman" w:eastAsia="Times New Roman" w:hAnsi="Times New Roman" w:cs="Times New Roman"/>
          <w:sz w:val="24"/>
        </w:rPr>
        <w:t>“</w:t>
      </w:r>
      <w:r>
        <w:rPr>
          <w:rFonts w:ascii="Times New Roman" w:eastAsia="Times New Roman" w:hAnsi="Times New Roman" w:cs="Times New Roman"/>
          <w:sz w:val="24"/>
        </w:rPr>
        <w:t>Voltaire struck at the Jews to strike at the Christians</w:t>
      </w:r>
      <w:r w:rsidR="009A1741">
        <w:rPr>
          <w:rFonts w:ascii="Times New Roman" w:eastAsia="Times New Roman" w:hAnsi="Times New Roman" w:cs="Times New Roman"/>
          <w:sz w:val="24"/>
        </w:rPr>
        <w:t>.”</w:t>
      </w:r>
      <w:r>
        <w:rPr>
          <w:rFonts w:ascii="Times New Roman" w:eastAsia="Times New Roman" w:hAnsi="Times New Roman" w:cs="Times New Roman"/>
          <w:sz w:val="24"/>
          <w:vertAlign w:val="superscript"/>
        </w:rPr>
        <w:footnoteReference w:id="19"/>
      </w:r>
      <w:r>
        <w:rPr>
          <w:rFonts w:ascii="Times New Roman" w:eastAsia="Times New Roman" w:hAnsi="Times New Roman" w:cs="Times New Roman"/>
          <w:sz w:val="24"/>
        </w:rPr>
        <w:t xml:space="preserve"> In other words, </w:t>
      </w:r>
      <w:r w:rsidR="009A1741">
        <w:rPr>
          <w:rFonts w:ascii="Times New Roman" w:eastAsia="Times New Roman" w:hAnsi="Times New Roman" w:cs="Times New Roman"/>
          <w:sz w:val="24"/>
        </w:rPr>
        <w:t>Voltaire’s</w:t>
      </w:r>
      <w:r>
        <w:rPr>
          <w:rFonts w:ascii="Times New Roman" w:eastAsia="Times New Roman" w:hAnsi="Times New Roman" w:cs="Times New Roman"/>
          <w:sz w:val="24"/>
        </w:rPr>
        <w:t xml:space="preserve"> writing on Jews sometimes served as a coded attack on the Church, and was sometimes intended to undermine Christianity</w:t>
      </w:r>
      <w:r w:rsidR="005817AC">
        <w:rPr>
          <w:rFonts w:ascii="Times New Roman" w:eastAsia="Times New Roman" w:hAnsi="Times New Roman" w:cs="Times New Roman"/>
          <w:sz w:val="24"/>
        </w:rPr>
        <w:t>’</w:t>
      </w:r>
      <w:r>
        <w:rPr>
          <w:rFonts w:ascii="Times New Roman" w:eastAsia="Times New Roman" w:hAnsi="Times New Roman" w:cs="Times New Roman"/>
          <w:sz w:val="24"/>
        </w:rPr>
        <w:t xml:space="preserve">s biblical foundations in the Old Testament. Yet Voltaire was unafraid to criticize the Church openly and vociferously, casting doubt on his need for any such coding; his recently published letters, too, show that anti-Semitism was a private conviction, not just a public posture. And while a great deal of </w:t>
      </w:r>
      <w:r w:rsidR="009A1741">
        <w:rPr>
          <w:rFonts w:ascii="Times New Roman" w:eastAsia="Times New Roman" w:hAnsi="Times New Roman" w:cs="Times New Roman"/>
          <w:sz w:val="24"/>
        </w:rPr>
        <w:t>Voltaire’s</w:t>
      </w:r>
      <w:r>
        <w:rPr>
          <w:rFonts w:ascii="Times New Roman" w:eastAsia="Times New Roman" w:hAnsi="Times New Roman" w:cs="Times New Roman"/>
          <w:sz w:val="24"/>
        </w:rPr>
        <w:t xml:space="preserve"> attacks on Jews were conducted in the form of biblical mockery, he also attacked the contemporary Jewish people in racial terms, frequently resorting to the </w:t>
      </w:r>
      <w:r w:rsidR="009A1741">
        <w:rPr>
          <w:rFonts w:ascii="Times New Roman" w:eastAsia="Times New Roman" w:hAnsi="Times New Roman" w:cs="Times New Roman"/>
          <w:sz w:val="24"/>
        </w:rPr>
        <w:t>“</w:t>
      </w:r>
      <w:r>
        <w:rPr>
          <w:rFonts w:ascii="Times New Roman" w:eastAsia="Times New Roman" w:hAnsi="Times New Roman" w:cs="Times New Roman"/>
          <w:sz w:val="24"/>
        </w:rPr>
        <w:t>opinion that Jews of every generation are tainted by the same defects as their forefathers</w:t>
      </w:r>
      <w:r w:rsidR="009A1741">
        <w:rPr>
          <w:rFonts w:ascii="Times New Roman" w:eastAsia="Times New Roman" w:hAnsi="Times New Roman" w:cs="Times New Roman"/>
          <w:sz w:val="24"/>
        </w:rPr>
        <w:t>.”</w:t>
      </w:r>
      <w:r>
        <w:rPr>
          <w:rFonts w:ascii="Times New Roman" w:eastAsia="Times New Roman" w:hAnsi="Times New Roman" w:cs="Times New Roman"/>
          <w:sz w:val="24"/>
          <w:vertAlign w:val="superscript"/>
        </w:rPr>
        <w:footnoteReference w:id="20"/>
      </w:r>
      <w:r>
        <w:rPr>
          <w:rFonts w:ascii="Times New Roman" w:eastAsia="Times New Roman" w:hAnsi="Times New Roman" w:cs="Times New Roman"/>
          <w:sz w:val="24"/>
        </w:rPr>
        <w:t xml:space="preserve"> Rather than concluding, then, that Voltaire simply used Judaism to carry on a theological argument with the Church, it is essential that we place his anti-Semitism in the context of his secular politics; as Hertzberg puts it, Voltaire </w:t>
      </w:r>
      <w:r w:rsidR="009A1741">
        <w:rPr>
          <w:rFonts w:ascii="Times New Roman" w:eastAsia="Times New Roman" w:hAnsi="Times New Roman" w:cs="Times New Roman"/>
          <w:sz w:val="24"/>
        </w:rPr>
        <w:t>“</w:t>
      </w:r>
      <w:r>
        <w:rPr>
          <w:rFonts w:ascii="Times New Roman" w:eastAsia="Times New Roman" w:hAnsi="Times New Roman" w:cs="Times New Roman"/>
          <w:sz w:val="24"/>
        </w:rPr>
        <w:t>provided the fundamentals of the rhetoric of secular anti-Semitism</w:t>
      </w:r>
      <w:r w:rsidR="009A1741">
        <w:rPr>
          <w:rFonts w:ascii="Times New Roman" w:eastAsia="Times New Roman" w:hAnsi="Times New Roman" w:cs="Times New Roman"/>
          <w:sz w:val="24"/>
        </w:rPr>
        <w:t>.”</w:t>
      </w:r>
      <w:r>
        <w:rPr>
          <w:rFonts w:ascii="Times New Roman" w:eastAsia="Times New Roman" w:hAnsi="Times New Roman" w:cs="Times New Roman"/>
          <w:sz w:val="24"/>
          <w:vertAlign w:val="superscript"/>
        </w:rPr>
        <w:footnoteReference w:id="21"/>
      </w:r>
      <w:r>
        <w:rPr>
          <w:rFonts w:ascii="Times New Roman" w:eastAsia="Times New Roman" w:hAnsi="Times New Roman" w:cs="Times New Roman"/>
          <w:sz w:val="24"/>
        </w:rPr>
        <w:t xml:space="preserve"> In this persuasive and influential reading, the Jews</w:t>
      </w:r>
      <w:r w:rsidR="009A1741">
        <w:rPr>
          <w:rFonts w:ascii="Times New Roman" w:eastAsia="Times New Roman" w:hAnsi="Times New Roman" w:cs="Times New Roman"/>
          <w:sz w:val="24"/>
        </w:rPr>
        <w:t>”</w:t>
      </w:r>
      <w:r>
        <w:rPr>
          <w:rFonts w:ascii="Times New Roman" w:eastAsia="Times New Roman" w:hAnsi="Times New Roman" w:cs="Times New Roman"/>
          <w:sz w:val="24"/>
        </w:rPr>
        <w:t xml:space="preserve"> major failing in </w:t>
      </w:r>
      <w:r w:rsidR="009A1741">
        <w:rPr>
          <w:rFonts w:ascii="Times New Roman" w:eastAsia="Times New Roman" w:hAnsi="Times New Roman" w:cs="Times New Roman"/>
          <w:sz w:val="24"/>
        </w:rPr>
        <w:t>Voltaire’s</w:t>
      </w:r>
      <w:r>
        <w:rPr>
          <w:rFonts w:ascii="Times New Roman" w:eastAsia="Times New Roman" w:hAnsi="Times New Roman" w:cs="Times New Roman"/>
          <w:sz w:val="24"/>
        </w:rPr>
        <w:t xml:space="preserve"> eyes was their </w:t>
      </w:r>
      <w:r w:rsidR="009A1741">
        <w:rPr>
          <w:rFonts w:ascii="Times New Roman" w:eastAsia="Times New Roman" w:hAnsi="Times New Roman" w:cs="Times New Roman"/>
          <w:sz w:val="24"/>
        </w:rPr>
        <w:t>“</w:t>
      </w:r>
      <w:r>
        <w:rPr>
          <w:rFonts w:ascii="Times New Roman" w:eastAsia="Times New Roman" w:hAnsi="Times New Roman" w:cs="Times New Roman"/>
          <w:sz w:val="24"/>
        </w:rPr>
        <w:t>backwards</w:t>
      </w:r>
      <w:r w:rsidR="009A1741">
        <w:rPr>
          <w:rFonts w:ascii="Times New Roman" w:eastAsia="Times New Roman" w:hAnsi="Times New Roman" w:cs="Times New Roman"/>
          <w:sz w:val="24"/>
        </w:rPr>
        <w:t>”</w:t>
      </w:r>
      <w:r>
        <w:rPr>
          <w:rFonts w:ascii="Times New Roman" w:eastAsia="Times New Roman" w:hAnsi="Times New Roman" w:cs="Times New Roman"/>
          <w:sz w:val="24"/>
        </w:rPr>
        <w:t xml:space="preserve"> particularism, which stood against the universalizing Enlightenment project as he saw it.</w:t>
      </w:r>
    </w:p>
    <w:p w14:paraId="32B210FF" w14:textId="11275272" w:rsidR="002F566E" w:rsidRDefault="004D3EAE" w:rsidP="00411136">
      <w:pPr>
        <w:pStyle w:val="normal0"/>
        <w:spacing w:line="240" w:lineRule="auto"/>
        <w:ind w:firstLine="720"/>
        <w:contextualSpacing w:val="0"/>
      </w:pPr>
      <w:r>
        <w:rPr>
          <w:rFonts w:ascii="Times New Roman" w:eastAsia="Times New Roman" w:hAnsi="Times New Roman" w:cs="Times New Roman"/>
          <w:sz w:val="24"/>
        </w:rPr>
        <w:t xml:space="preserve">I have dwelled on these competing explanations in an effort to demonstrate that </w:t>
      </w:r>
      <w:r w:rsidR="009A1741">
        <w:rPr>
          <w:rFonts w:ascii="Times New Roman" w:eastAsia="Times New Roman" w:hAnsi="Times New Roman" w:cs="Times New Roman"/>
          <w:sz w:val="24"/>
        </w:rPr>
        <w:t>Voltaire’s</w:t>
      </w:r>
      <w:r>
        <w:rPr>
          <w:rFonts w:ascii="Times New Roman" w:eastAsia="Times New Roman" w:hAnsi="Times New Roman" w:cs="Times New Roman"/>
          <w:sz w:val="24"/>
        </w:rPr>
        <w:t xml:space="preserve"> anti-Semitism was important to his political thought—and not simply a biographical or theological incidental. But canvassing these accounts also shows that a crucial explanation has been largely overlooked or downplayed: the Jewish role in the growth of commerce. Strategic anti-Semitism was central to </w:t>
      </w:r>
      <w:r w:rsidR="009A1741">
        <w:rPr>
          <w:rFonts w:ascii="Times New Roman" w:eastAsia="Times New Roman" w:hAnsi="Times New Roman" w:cs="Times New Roman"/>
          <w:sz w:val="24"/>
        </w:rPr>
        <w:t>Voltaire’s</w:t>
      </w:r>
      <w:r>
        <w:rPr>
          <w:rFonts w:ascii="Times New Roman" w:eastAsia="Times New Roman" w:hAnsi="Times New Roman" w:cs="Times New Roman"/>
          <w:sz w:val="24"/>
        </w:rPr>
        <w:t xml:space="preserve"> impassioned defense of commerce, just as their participation in a debased form of commerce was central to </w:t>
      </w:r>
      <w:r w:rsidR="009A1741">
        <w:rPr>
          <w:rFonts w:ascii="Times New Roman" w:eastAsia="Times New Roman" w:hAnsi="Times New Roman" w:cs="Times New Roman"/>
          <w:sz w:val="24"/>
        </w:rPr>
        <w:t>Voltaire’s</w:t>
      </w:r>
      <w:r>
        <w:rPr>
          <w:rFonts w:ascii="Times New Roman" w:eastAsia="Times New Roman" w:hAnsi="Times New Roman" w:cs="Times New Roman"/>
          <w:sz w:val="24"/>
        </w:rPr>
        <w:t xml:space="preserve"> perception of the Jews. While Voltaire certainly attacked Jews on non-commercial grounds—Jacob Katz, for instance, classifies his attacks as moral, religious, cultural, and political—the connection between Jews and commerce ought to be foregrounded for two reasons.</w:t>
      </w:r>
      <w:r>
        <w:rPr>
          <w:rFonts w:ascii="Times New Roman" w:eastAsia="Times New Roman" w:hAnsi="Times New Roman" w:cs="Times New Roman"/>
          <w:sz w:val="24"/>
          <w:vertAlign w:val="superscript"/>
        </w:rPr>
        <w:footnoteReference w:id="22"/>
      </w:r>
    </w:p>
    <w:p w14:paraId="7442E3D8" w14:textId="0F5BF805" w:rsidR="002F566E" w:rsidRDefault="004D3EAE" w:rsidP="00411136">
      <w:pPr>
        <w:pStyle w:val="normal0"/>
        <w:spacing w:line="240" w:lineRule="auto"/>
        <w:ind w:firstLine="720"/>
        <w:contextualSpacing w:val="0"/>
      </w:pPr>
      <w:r>
        <w:rPr>
          <w:rFonts w:ascii="Times New Roman" w:eastAsia="Times New Roman" w:hAnsi="Times New Roman" w:cs="Times New Roman"/>
          <w:sz w:val="24"/>
        </w:rPr>
        <w:t xml:space="preserve">First, for Voltaire, commerce was not incidental to the Jewish identity, but essential—even more defining than religion. In his </w:t>
      </w:r>
      <w:r>
        <w:rPr>
          <w:rFonts w:ascii="Times New Roman" w:eastAsia="Times New Roman" w:hAnsi="Times New Roman" w:cs="Times New Roman"/>
          <w:i/>
          <w:sz w:val="24"/>
        </w:rPr>
        <w:t>Dictionary</w:t>
      </w:r>
      <w:r>
        <w:rPr>
          <w:rFonts w:ascii="Times New Roman" w:eastAsia="Times New Roman" w:hAnsi="Times New Roman" w:cs="Times New Roman"/>
          <w:sz w:val="24"/>
        </w:rPr>
        <w:t xml:space="preserve"> history of the Jews he wrote that </w:t>
      </w:r>
      <w:r w:rsidR="009A1741">
        <w:rPr>
          <w:rFonts w:ascii="Times New Roman" w:eastAsia="Times New Roman" w:hAnsi="Times New Roman" w:cs="Times New Roman"/>
          <w:sz w:val="24"/>
        </w:rPr>
        <w:t>“</w:t>
      </w:r>
      <w:r>
        <w:rPr>
          <w:rFonts w:ascii="Times New Roman" w:eastAsia="Times New Roman" w:hAnsi="Times New Roman" w:cs="Times New Roman"/>
          <w:sz w:val="24"/>
        </w:rPr>
        <w:t xml:space="preserve">the sect of the Jew had long been spread in Europe and Asia; but its tenets </w:t>
      </w:r>
      <w:r>
        <w:rPr>
          <w:rFonts w:ascii="Times New Roman" w:eastAsia="Times New Roman" w:hAnsi="Times New Roman" w:cs="Times New Roman"/>
          <w:sz w:val="24"/>
        </w:rPr>
        <w:lastRenderedPageBreak/>
        <w:t>were entirely unknown...The Jews were known only as the Armenians are now known to the Turks and Persians, as brokers and traders</w:t>
      </w:r>
      <w:r w:rsidR="009A1741">
        <w:rPr>
          <w:rFonts w:ascii="Times New Roman" w:eastAsia="Times New Roman" w:hAnsi="Times New Roman" w:cs="Times New Roman"/>
          <w:sz w:val="24"/>
        </w:rPr>
        <w:t>.”</w:t>
      </w:r>
      <w:r>
        <w:rPr>
          <w:rFonts w:ascii="Times New Roman" w:eastAsia="Times New Roman" w:hAnsi="Times New Roman" w:cs="Times New Roman"/>
          <w:sz w:val="24"/>
        </w:rPr>
        <w:t xml:space="preserve"> The Jews may have been fond of their temple, </w:t>
      </w:r>
      <w:r w:rsidR="009A1741">
        <w:rPr>
          <w:rFonts w:ascii="Times New Roman" w:eastAsia="Times New Roman" w:hAnsi="Times New Roman" w:cs="Times New Roman"/>
          <w:sz w:val="24"/>
        </w:rPr>
        <w:t>“</w:t>
      </w:r>
      <w:r>
        <w:rPr>
          <w:rFonts w:ascii="Times New Roman" w:eastAsia="Times New Roman" w:hAnsi="Times New Roman" w:cs="Times New Roman"/>
          <w:sz w:val="24"/>
        </w:rPr>
        <w:t>but were still fonder of their money</w:t>
      </w:r>
      <w:r w:rsidR="009A1741">
        <w:rPr>
          <w:rFonts w:ascii="Times New Roman" w:eastAsia="Times New Roman" w:hAnsi="Times New Roman" w:cs="Times New Roman"/>
          <w:sz w:val="24"/>
        </w:rPr>
        <w:t>.”</w:t>
      </w:r>
      <w:r>
        <w:rPr>
          <w:rFonts w:ascii="Times New Roman" w:eastAsia="Times New Roman" w:hAnsi="Times New Roman" w:cs="Times New Roman"/>
          <w:sz w:val="24"/>
        </w:rPr>
        <w:t xml:space="preserve"> Similarly, Voltaire wrote that </w:t>
      </w:r>
      <w:r w:rsidR="009A1741">
        <w:rPr>
          <w:rFonts w:ascii="Times New Roman" w:eastAsia="Times New Roman" w:hAnsi="Times New Roman" w:cs="Times New Roman"/>
          <w:sz w:val="24"/>
        </w:rPr>
        <w:t>“</w:t>
      </w:r>
      <w:r>
        <w:rPr>
          <w:rFonts w:ascii="Times New Roman" w:eastAsia="Times New Roman" w:hAnsi="Times New Roman" w:cs="Times New Roman"/>
          <w:sz w:val="24"/>
        </w:rPr>
        <w:t>the Jews have ever considered as their first two duties, to get money and children</w:t>
      </w:r>
      <w:r w:rsidR="009A1741">
        <w:rPr>
          <w:rFonts w:ascii="Times New Roman" w:eastAsia="Times New Roman" w:hAnsi="Times New Roman" w:cs="Times New Roman"/>
          <w:sz w:val="24"/>
        </w:rPr>
        <w:t>.”</w:t>
      </w:r>
      <w:r>
        <w:rPr>
          <w:rFonts w:ascii="Times New Roman" w:eastAsia="Times New Roman" w:hAnsi="Times New Roman" w:cs="Times New Roman"/>
          <w:sz w:val="24"/>
        </w:rPr>
        <w:t xml:space="preserve"> In fact, the Jewish people was literally born in usury. Here is how Voltaire describes the exodus from Egypt: </w:t>
      </w:r>
      <w:r w:rsidR="009A1741">
        <w:rPr>
          <w:rFonts w:ascii="Times New Roman" w:eastAsia="Times New Roman" w:hAnsi="Times New Roman" w:cs="Times New Roman"/>
          <w:sz w:val="24"/>
        </w:rPr>
        <w:t>“</w:t>
      </w:r>
      <w:r>
        <w:rPr>
          <w:rFonts w:ascii="Times New Roman" w:eastAsia="Times New Roman" w:hAnsi="Times New Roman" w:cs="Times New Roman"/>
          <w:sz w:val="24"/>
        </w:rPr>
        <w:t>You stole to the amount of upwards of nine millions in gold...reckoning interest at forty per cent. which was the lawful rate</w:t>
      </w:r>
      <w:r w:rsidR="009A1741">
        <w:rPr>
          <w:rFonts w:ascii="Times New Roman" w:eastAsia="Times New Roman" w:hAnsi="Times New Roman" w:cs="Times New Roman"/>
          <w:sz w:val="24"/>
        </w:rPr>
        <w:t>.”</w:t>
      </w:r>
      <w:r>
        <w:rPr>
          <w:rFonts w:ascii="Times New Roman" w:eastAsia="Times New Roman" w:hAnsi="Times New Roman" w:cs="Times New Roman"/>
          <w:sz w:val="24"/>
          <w:vertAlign w:val="superscript"/>
        </w:rPr>
        <w:footnoteReference w:id="23"/>
      </w:r>
      <w:r>
        <w:rPr>
          <w:rFonts w:ascii="Times New Roman" w:eastAsia="Times New Roman" w:hAnsi="Times New Roman" w:cs="Times New Roman"/>
          <w:sz w:val="24"/>
        </w:rPr>
        <w:t xml:space="preserve"> Despite his claims to historical objectivity, Voltaire wrote Jewish history by projecting his perception of modern-day Jews—a grasping nation of usurers—back through time.</w:t>
      </w:r>
      <w:r>
        <w:rPr>
          <w:rFonts w:ascii="Times New Roman" w:eastAsia="Times New Roman" w:hAnsi="Times New Roman" w:cs="Times New Roman"/>
          <w:sz w:val="24"/>
          <w:vertAlign w:val="superscript"/>
        </w:rPr>
        <w:footnoteReference w:id="24"/>
      </w:r>
      <w:r>
        <w:rPr>
          <w:rFonts w:ascii="Times New Roman" w:eastAsia="Times New Roman" w:hAnsi="Times New Roman" w:cs="Times New Roman"/>
          <w:sz w:val="24"/>
        </w:rPr>
        <w:t xml:space="preserve"> Jews, commerce, and usury were so closely linked in </w:t>
      </w:r>
      <w:r w:rsidR="009A1741">
        <w:rPr>
          <w:rFonts w:ascii="Times New Roman" w:eastAsia="Times New Roman" w:hAnsi="Times New Roman" w:cs="Times New Roman"/>
          <w:sz w:val="24"/>
        </w:rPr>
        <w:t>Voltaire’s</w:t>
      </w:r>
      <w:r>
        <w:rPr>
          <w:rFonts w:ascii="Times New Roman" w:eastAsia="Times New Roman" w:hAnsi="Times New Roman" w:cs="Times New Roman"/>
          <w:sz w:val="24"/>
        </w:rPr>
        <w:t xml:space="preserve"> mind that we can best make sense of his attitudes on these subjects by considering them together.</w:t>
      </w:r>
    </w:p>
    <w:p w14:paraId="2E69892A" w14:textId="5D1A546D" w:rsidR="003C063C" w:rsidRDefault="004D3EAE" w:rsidP="00411136">
      <w:pPr>
        <w:pStyle w:val="normal0"/>
        <w:spacing w:line="240" w:lineRule="auto"/>
        <w:ind w:firstLine="720"/>
        <w:contextualSpacing w:val="0"/>
        <w:rPr>
          <w:rFonts w:ascii="Times New Roman" w:eastAsia="Times New Roman" w:hAnsi="Times New Roman" w:cs="Times New Roman"/>
          <w:sz w:val="24"/>
        </w:rPr>
      </w:pPr>
      <w:r>
        <w:rPr>
          <w:rFonts w:ascii="Times New Roman" w:eastAsia="Times New Roman" w:hAnsi="Times New Roman" w:cs="Times New Roman"/>
          <w:sz w:val="24"/>
        </w:rPr>
        <w:t>Second, this close identification of Jews and commerce was not unique to Voltaire, but formed part of the climate of thought within which h</w:t>
      </w:r>
      <w:r w:rsidR="003C063C">
        <w:rPr>
          <w:rFonts w:ascii="Times New Roman" w:eastAsia="Times New Roman" w:hAnsi="Times New Roman" w:cs="Times New Roman"/>
          <w:sz w:val="24"/>
        </w:rPr>
        <w:t>e worked</w:t>
      </w:r>
      <w:r w:rsidR="00532B95">
        <w:rPr>
          <w:rFonts w:ascii="Times New Roman" w:eastAsia="Times New Roman" w:hAnsi="Times New Roman" w:cs="Times New Roman"/>
          <w:sz w:val="24"/>
        </w:rPr>
        <w:t>: the context to which I now turn</w:t>
      </w:r>
      <w:r w:rsidR="003C063C">
        <w:rPr>
          <w:rFonts w:ascii="Times New Roman" w:eastAsia="Times New Roman" w:hAnsi="Times New Roman" w:cs="Times New Roman"/>
          <w:sz w:val="24"/>
        </w:rPr>
        <w:t>.</w:t>
      </w:r>
    </w:p>
    <w:p w14:paraId="5770F630" w14:textId="77777777" w:rsidR="003C063C" w:rsidRDefault="003C063C" w:rsidP="00411136">
      <w:pPr>
        <w:pStyle w:val="normal0"/>
        <w:spacing w:line="240" w:lineRule="auto"/>
        <w:contextualSpacing w:val="0"/>
        <w:rPr>
          <w:rFonts w:ascii="Times New Roman" w:eastAsia="Times New Roman" w:hAnsi="Times New Roman" w:cs="Times New Roman"/>
          <w:sz w:val="24"/>
        </w:rPr>
      </w:pPr>
    </w:p>
    <w:p w14:paraId="23A17977" w14:textId="5D54211C" w:rsidR="003C063C" w:rsidRDefault="00DA12E0" w:rsidP="00411136">
      <w:pPr>
        <w:pStyle w:val="normal0"/>
        <w:spacing w:line="240" w:lineRule="auto"/>
        <w:contextualSpacing w:val="0"/>
        <w:rPr>
          <w:rFonts w:ascii="Times New Roman" w:eastAsia="Times New Roman" w:hAnsi="Times New Roman" w:cs="Times New Roman"/>
          <w:b/>
          <w:sz w:val="24"/>
        </w:rPr>
      </w:pPr>
      <w:r>
        <w:rPr>
          <w:rFonts w:ascii="Times New Roman" w:eastAsia="Times New Roman" w:hAnsi="Times New Roman" w:cs="Times New Roman"/>
          <w:b/>
          <w:sz w:val="24"/>
        </w:rPr>
        <w:t>The Context of the Argument</w:t>
      </w:r>
    </w:p>
    <w:p w14:paraId="7D232952" w14:textId="5954EF1B" w:rsidR="007623A0" w:rsidRDefault="009A1741" w:rsidP="00411136">
      <w:pPr>
        <w:pStyle w:val="normal0"/>
        <w:spacing w:line="240" w:lineRule="auto"/>
        <w:contextualSpacing w:val="0"/>
        <w:rPr>
          <w:rFonts w:ascii="Times New Roman" w:hAnsi="Times New Roman" w:cs="Times New Roman"/>
          <w:sz w:val="24"/>
        </w:rPr>
      </w:pPr>
      <w:r>
        <w:rPr>
          <w:rFonts w:ascii="Times New Roman" w:eastAsia="Times New Roman" w:hAnsi="Times New Roman" w:cs="Times New Roman"/>
          <w:sz w:val="24"/>
        </w:rPr>
        <w:t>“</w:t>
      </w:r>
      <w:r w:rsidR="006C40B7" w:rsidRPr="006C40B7">
        <w:rPr>
          <w:rFonts w:ascii="Times New Roman" w:eastAsia="Times New Roman" w:hAnsi="Times New Roman" w:cs="Times New Roman"/>
          <w:sz w:val="24"/>
        </w:rPr>
        <w:t>The advances of trade</w:t>
      </w:r>
      <w:r>
        <w:rPr>
          <w:rFonts w:ascii="Times New Roman" w:eastAsia="Times New Roman" w:hAnsi="Times New Roman" w:cs="Times New Roman"/>
          <w:sz w:val="24"/>
        </w:rPr>
        <w:t>”</w:t>
      </w:r>
      <w:r w:rsidR="006C40B7" w:rsidRPr="006C40B7">
        <w:rPr>
          <w:rFonts w:ascii="Times New Roman" w:eastAsia="Times New Roman" w:hAnsi="Times New Roman" w:cs="Times New Roman"/>
          <w:sz w:val="24"/>
        </w:rPr>
        <w:t xml:space="preserve"> (</w:t>
      </w:r>
      <w:r w:rsidR="006C40B7" w:rsidRPr="006C40B7">
        <w:rPr>
          <w:rFonts w:ascii="Times New Roman" w:eastAsia="Times New Roman" w:hAnsi="Times New Roman" w:cs="Times New Roman"/>
          <w:i/>
          <w:sz w:val="24"/>
        </w:rPr>
        <w:t>les progr</w:t>
      </w:r>
      <w:r w:rsidR="006C40B7" w:rsidRPr="006C40B7">
        <w:rPr>
          <w:rFonts w:ascii="Times New Roman" w:hAnsi="Times New Roman" w:cs="Times New Roman"/>
          <w:i/>
          <w:sz w:val="24"/>
        </w:rPr>
        <w:t>è</w:t>
      </w:r>
      <w:r w:rsidR="006C40B7">
        <w:rPr>
          <w:rFonts w:ascii="Times New Roman" w:hAnsi="Times New Roman" w:cs="Times New Roman"/>
          <w:i/>
          <w:sz w:val="24"/>
        </w:rPr>
        <w:t>s du commerce</w:t>
      </w:r>
      <w:r w:rsidR="006C40B7">
        <w:rPr>
          <w:rFonts w:ascii="Times New Roman" w:hAnsi="Times New Roman" w:cs="Times New Roman"/>
          <w:sz w:val="24"/>
        </w:rPr>
        <w:t xml:space="preserve">) was a commonplace phrase for French writers </w:t>
      </w:r>
      <w:r w:rsidR="00A45559">
        <w:rPr>
          <w:rFonts w:ascii="Times New Roman" w:hAnsi="Times New Roman" w:cs="Times New Roman"/>
          <w:sz w:val="24"/>
        </w:rPr>
        <w:t>in the pre-revolutionary years of</w:t>
      </w:r>
      <w:r w:rsidR="006C40B7">
        <w:rPr>
          <w:rFonts w:ascii="Times New Roman" w:hAnsi="Times New Roman" w:cs="Times New Roman"/>
          <w:sz w:val="24"/>
        </w:rPr>
        <w:t xml:space="preserve"> the </w:t>
      </w:r>
      <w:r w:rsidR="002F5D7D">
        <w:rPr>
          <w:rFonts w:ascii="Times New Roman" w:hAnsi="Times New Roman" w:cs="Times New Roman"/>
          <w:sz w:val="24"/>
        </w:rPr>
        <w:t>eighteenth</w:t>
      </w:r>
      <w:r w:rsidR="006C40B7">
        <w:rPr>
          <w:rFonts w:ascii="Times New Roman" w:hAnsi="Times New Roman" w:cs="Times New Roman"/>
          <w:sz w:val="24"/>
        </w:rPr>
        <w:t xml:space="preserve"> century</w:t>
      </w:r>
      <w:r w:rsidR="00360FF1">
        <w:rPr>
          <w:rFonts w:ascii="Times New Roman" w:hAnsi="Times New Roman" w:cs="Times New Roman"/>
          <w:sz w:val="24"/>
        </w:rPr>
        <w:t xml:space="preserve">: </w:t>
      </w:r>
      <w:r w:rsidR="006C40B7">
        <w:rPr>
          <w:rFonts w:ascii="Times New Roman" w:hAnsi="Times New Roman" w:cs="Times New Roman"/>
          <w:sz w:val="24"/>
        </w:rPr>
        <w:t xml:space="preserve">as Paul Cheney notes, </w:t>
      </w:r>
      <w:r w:rsidR="00360FF1">
        <w:rPr>
          <w:rFonts w:ascii="Times New Roman" w:hAnsi="Times New Roman" w:cs="Times New Roman"/>
          <w:sz w:val="24"/>
        </w:rPr>
        <w:t xml:space="preserve">it </w:t>
      </w:r>
      <w:r w:rsidR="006C40B7">
        <w:rPr>
          <w:rFonts w:ascii="Times New Roman" w:hAnsi="Times New Roman" w:cs="Times New Roman"/>
          <w:sz w:val="24"/>
        </w:rPr>
        <w:t>played a role in political discourse analogous to</w:t>
      </w:r>
      <w:r w:rsidR="00A45559">
        <w:rPr>
          <w:rFonts w:ascii="Times New Roman" w:hAnsi="Times New Roman" w:cs="Times New Roman"/>
          <w:sz w:val="24"/>
        </w:rPr>
        <w:t xml:space="preserve"> that of</w:t>
      </w:r>
      <w:r w:rsidR="006C40B7">
        <w:rPr>
          <w:rFonts w:ascii="Times New Roman" w:hAnsi="Times New Roman" w:cs="Times New Roman"/>
          <w:sz w:val="24"/>
        </w:rPr>
        <w:t xml:space="preserve"> the word </w:t>
      </w:r>
      <w:r>
        <w:rPr>
          <w:rFonts w:ascii="Times New Roman" w:hAnsi="Times New Roman" w:cs="Times New Roman"/>
          <w:sz w:val="24"/>
        </w:rPr>
        <w:t>“</w:t>
      </w:r>
      <w:r w:rsidR="006C40B7">
        <w:rPr>
          <w:rFonts w:ascii="Times New Roman" w:hAnsi="Times New Roman" w:cs="Times New Roman"/>
          <w:sz w:val="24"/>
        </w:rPr>
        <w:t>globalization</w:t>
      </w:r>
      <w:r>
        <w:rPr>
          <w:rFonts w:ascii="Times New Roman" w:hAnsi="Times New Roman" w:cs="Times New Roman"/>
          <w:sz w:val="24"/>
        </w:rPr>
        <w:t>”</w:t>
      </w:r>
      <w:r w:rsidR="006C40B7">
        <w:rPr>
          <w:rFonts w:ascii="Times New Roman" w:hAnsi="Times New Roman" w:cs="Times New Roman"/>
          <w:sz w:val="24"/>
        </w:rPr>
        <w:t xml:space="preserve"> in our time.</w:t>
      </w:r>
      <w:r w:rsidR="006C40B7">
        <w:rPr>
          <w:rStyle w:val="FootnoteReference"/>
          <w:rFonts w:ascii="Times New Roman" w:hAnsi="Times New Roman" w:cs="Times New Roman"/>
          <w:sz w:val="24"/>
        </w:rPr>
        <w:footnoteReference w:id="25"/>
      </w:r>
      <w:r w:rsidR="006C40B7">
        <w:rPr>
          <w:rFonts w:ascii="Times New Roman" w:hAnsi="Times New Roman" w:cs="Times New Roman"/>
          <w:sz w:val="24"/>
        </w:rPr>
        <w:t xml:space="preserve"> </w:t>
      </w:r>
      <w:r w:rsidR="005E1E20">
        <w:rPr>
          <w:rFonts w:ascii="Times New Roman" w:hAnsi="Times New Roman" w:cs="Times New Roman"/>
          <w:sz w:val="24"/>
        </w:rPr>
        <w:t xml:space="preserve">The phrase stood for burgeoning foreign trade, international economic competition, and </w:t>
      </w:r>
      <w:r>
        <w:rPr>
          <w:rFonts w:ascii="Times New Roman" w:hAnsi="Times New Roman" w:cs="Times New Roman"/>
          <w:sz w:val="24"/>
        </w:rPr>
        <w:t>“</w:t>
      </w:r>
      <w:r w:rsidR="005E1E20">
        <w:rPr>
          <w:rFonts w:ascii="Times New Roman" w:hAnsi="Times New Roman" w:cs="Times New Roman"/>
          <w:sz w:val="24"/>
        </w:rPr>
        <w:t>financialization</w:t>
      </w:r>
      <w:r>
        <w:rPr>
          <w:rFonts w:ascii="Times New Roman" w:hAnsi="Times New Roman" w:cs="Times New Roman"/>
          <w:sz w:val="24"/>
        </w:rPr>
        <w:t>”</w:t>
      </w:r>
      <w:r w:rsidR="005E1E20">
        <w:rPr>
          <w:rFonts w:ascii="Times New Roman" w:hAnsi="Times New Roman" w:cs="Times New Roman"/>
          <w:sz w:val="24"/>
        </w:rPr>
        <w:t xml:space="preserve">—as well as for the domestic social dislocation that these </w:t>
      </w:r>
      <w:r w:rsidR="00551EBC">
        <w:rPr>
          <w:rFonts w:ascii="Times New Roman" w:hAnsi="Times New Roman" w:cs="Times New Roman"/>
          <w:sz w:val="24"/>
        </w:rPr>
        <w:t>developm</w:t>
      </w:r>
      <w:r w:rsidR="001C5926">
        <w:rPr>
          <w:rFonts w:ascii="Times New Roman" w:hAnsi="Times New Roman" w:cs="Times New Roman"/>
          <w:sz w:val="24"/>
        </w:rPr>
        <w:t>ents threatened to bring about. France</w:t>
      </w:r>
      <w:r w:rsidR="005817AC">
        <w:rPr>
          <w:rFonts w:ascii="Times New Roman" w:hAnsi="Times New Roman" w:cs="Times New Roman"/>
          <w:sz w:val="24"/>
        </w:rPr>
        <w:t>’</w:t>
      </w:r>
      <w:r w:rsidR="001C5926">
        <w:rPr>
          <w:rFonts w:ascii="Times New Roman" w:hAnsi="Times New Roman" w:cs="Times New Roman"/>
          <w:sz w:val="24"/>
        </w:rPr>
        <w:t>s participation in this intensified global commerce is well-documented:</w:t>
      </w:r>
      <w:r w:rsidR="00EA3D63">
        <w:rPr>
          <w:rFonts w:ascii="Times New Roman" w:hAnsi="Times New Roman" w:cs="Times New Roman"/>
          <w:sz w:val="24"/>
        </w:rPr>
        <w:t xml:space="preserve"> for instance, French production indices nearly doubled in the period from 1700 to 1790; French export growth outpaced that of Britain over a similar period;</w:t>
      </w:r>
      <w:r w:rsidR="00EA3D63">
        <w:rPr>
          <w:rStyle w:val="FootnoteReference"/>
          <w:rFonts w:ascii="Times New Roman" w:hAnsi="Times New Roman" w:cs="Times New Roman"/>
          <w:sz w:val="24"/>
        </w:rPr>
        <w:footnoteReference w:id="26"/>
      </w:r>
      <w:r w:rsidR="00EA3D63">
        <w:rPr>
          <w:rFonts w:ascii="Times New Roman" w:hAnsi="Times New Roman" w:cs="Times New Roman"/>
          <w:sz w:val="24"/>
        </w:rPr>
        <w:t xml:space="preserve"> </w:t>
      </w:r>
      <w:r w:rsidR="00871FAE">
        <w:rPr>
          <w:rFonts w:ascii="Times New Roman" w:hAnsi="Times New Roman" w:cs="Times New Roman"/>
          <w:sz w:val="24"/>
        </w:rPr>
        <w:t xml:space="preserve">and, </w:t>
      </w:r>
      <w:r w:rsidR="00EA3D63">
        <w:rPr>
          <w:rFonts w:ascii="Times New Roman" w:hAnsi="Times New Roman" w:cs="Times New Roman"/>
          <w:sz w:val="24"/>
        </w:rPr>
        <w:t xml:space="preserve">between 1730 and the 1770s, </w:t>
      </w:r>
      <w:r>
        <w:rPr>
          <w:rFonts w:ascii="Times New Roman" w:hAnsi="Times New Roman" w:cs="Times New Roman"/>
          <w:sz w:val="24"/>
        </w:rPr>
        <w:t>“</w:t>
      </w:r>
      <w:r w:rsidR="00EA3D63">
        <w:rPr>
          <w:rFonts w:ascii="Times New Roman" w:hAnsi="Times New Roman" w:cs="Times New Roman"/>
          <w:sz w:val="24"/>
        </w:rPr>
        <w:t>foreign trade</w:t>
      </w:r>
      <w:r w:rsidR="00B13595">
        <w:rPr>
          <w:rFonts w:ascii="Times New Roman" w:hAnsi="Times New Roman" w:cs="Times New Roman"/>
          <w:sz w:val="24"/>
        </w:rPr>
        <w:t xml:space="preserve"> expanded between five- and six</w:t>
      </w:r>
      <w:r w:rsidR="00EA3D63">
        <w:rPr>
          <w:rFonts w:ascii="Times New Roman" w:hAnsi="Times New Roman" w:cs="Times New Roman"/>
          <w:sz w:val="24"/>
        </w:rPr>
        <w:t>fold…while colonial commerce increased tenfold</w:t>
      </w:r>
      <w:r>
        <w:rPr>
          <w:rFonts w:ascii="Times New Roman" w:hAnsi="Times New Roman" w:cs="Times New Roman"/>
          <w:sz w:val="24"/>
        </w:rPr>
        <w:t>.”</w:t>
      </w:r>
      <w:r w:rsidR="00EA3D63">
        <w:rPr>
          <w:rStyle w:val="FootnoteReference"/>
          <w:rFonts w:ascii="Times New Roman" w:hAnsi="Times New Roman" w:cs="Times New Roman"/>
          <w:sz w:val="24"/>
        </w:rPr>
        <w:footnoteReference w:id="27"/>
      </w:r>
      <w:r w:rsidR="004F0296">
        <w:rPr>
          <w:rFonts w:ascii="Times New Roman" w:hAnsi="Times New Roman" w:cs="Times New Roman"/>
          <w:sz w:val="24"/>
        </w:rPr>
        <w:t xml:space="preserve"> </w:t>
      </w:r>
      <w:r w:rsidR="001B34D7">
        <w:rPr>
          <w:rFonts w:ascii="Times New Roman" w:hAnsi="Times New Roman" w:cs="Times New Roman"/>
          <w:sz w:val="24"/>
        </w:rPr>
        <w:t>Expanded trade brought with it a developing awareness of the economy as an arena of geopolitical conflict.</w:t>
      </w:r>
      <w:r w:rsidR="00ED2670">
        <w:rPr>
          <w:rStyle w:val="FootnoteReference"/>
          <w:rFonts w:ascii="Times New Roman" w:hAnsi="Times New Roman" w:cs="Times New Roman"/>
          <w:sz w:val="24"/>
        </w:rPr>
        <w:footnoteReference w:id="28"/>
      </w:r>
      <w:r w:rsidR="001B34D7">
        <w:rPr>
          <w:rFonts w:ascii="Times New Roman" w:hAnsi="Times New Roman" w:cs="Times New Roman"/>
          <w:sz w:val="24"/>
        </w:rPr>
        <w:t xml:space="preserve"> </w:t>
      </w:r>
      <w:r w:rsidR="001C5926">
        <w:rPr>
          <w:rFonts w:ascii="Times New Roman" w:hAnsi="Times New Roman" w:cs="Times New Roman"/>
          <w:sz w:val="24"/>
        </w:rPr>
        <w:t>And the impacts of these large-scale economic processes</w:t>
      </w:r>
      <w:r w:rsidR="00827837">
        <w:rPr>
          <w:rFonts w:ascii="Times New Roman" w:hAnsi="Times New Roman" w:cs="Times New Roman"/>
          <w:sz w:val="24"/>
        </w:rPr>
        <w:t xml:space="preserve"> </w:t>
      </w:r>
      <w:r w:rsidR="001C5926">
        <w:rPr>
          <w:rFonts w:ascii="Times New Roman" w:hAnsi="Times New Roman" w:cs="Times New Roman"/>
          <w:sz w:val="24"/>
        </w:rPr>
        <w:t>were power</w:t>
      </w:r>
      <w:r w:rsidR="006878E7">
        <w:rPr>
          <w:rFonts w:ascii="Times New Roman" w:hAnsi="Times New Roman" w:cs="Times New Roman"/>
          <w:sz w:val="24"/>
        </w:rPr>
        <w:t xml:space="preserve">fully felt on the level of social life. </w:t>
      </w:r>
      <w:r w:rsidR="009D1471">
        <w:rPr>
          <w:rFonts w:ascii="Times New Roman" w:hAnsi="Times New Roman" w:cs="Times New Roman"/>
          <w:sz w:val="24"/>
        </w:rPr>
        <w:t>They were felt in an urbanization boom that added nearly one million new residents to French cities and towns by 1780;</w:t>
      </w:r>
      <w:r w:rsidR="009D1471">
        <w:rPr>
          <w:rStyle w:val="FootnoteReference"/>
          <w:rFonts w:ascii="Times New Roman" w:hAnsi="Times New Roman" w:cs="Times New Roman"/>
          <w:sz w:val="24"/>
        </w:rPr>
        <w:footnoteReference w:id="29"/>
      </w:r>
      <w:r w:rsidR="007623A0">
        <w:rPr>
          <w:rFonts w:ascii="Times New Roman" w:hAnsi="Times New Roman" w:cs="Times New Roman"/>
          <w:sz w:val="24"/>
        </w:rPr>
        <w:t xml:space="preserve"> in a commonly voiced </w:t>
      </w:r>
      <w:r>
        <w:rPr>
          <w:rFonts w:ascii="Times New Roman" w:hAnsi="Times New Roman" w:cs="Times New Roman"/>
          <w:sz w:val="24"/>
        </w:rPr>
        <w:t>“</w:t>
      </w:r>
      <w:r w:rsidR="007623A0">
        <w:rPr>
          <w:rFonts w:ascii="Times New Roman" w:hAnsi="Times New Roman" w:cs="Times New Roman"/>
          <w:sz w:val="24"/>
        </w:rPr>
        <w:t>perception that financiers were ascendant</w:t>
      </w:r>
      <w:r>
        <w:rPr>
          <w:rFonts w:ascii="Times New Roman" w:hAnsi="Times New Roman" w:cs="Times New Roman"/>
          <w:sz w:val="24"/>
        </w:rPr>
        <w:t>”</w:t>
      </w:r>
      <w:r w:rsidR="003F4B68">
        <w:rPr>
          <w:rFonts w:ascii="Times New Roman" w:hAnsi="Times New Roman" w:cs="Times New Roman"/>
          <w:sz w:val="24"/>
        </w:rPr>
        <w:t xml:space="preserve"> politically and socially</w:t>
      </w:r>
      <w:r w:rsidR="00CD580D">
        <w:rPr>
          <w:rFonts w:ascii="Times New Roman" w:hAnsi="Times New Roman" w:cs="Times New Roman"/>
          <w:sz w:val="24"/>
        </w:rPr>
        <w:t xml:space="preserve">; in the growth of monetary exchanges in day-to-day life; </w:t>
      </w:r>
      <w:r w:rsidR="007623A0">
        <w:rPr>
          <w:rFonts w:ascii="Times New Roman" w:hAnsi="Times New Roman" w:cs="Times New Roman"/>
          <w:sz w:val="24"/>
        </w:rPr>
        <w:t xml:space="preserve">and </w:t>
      </w:r>
      <w:r w:rsidR="00A32F92">
        <w:rPr>
          <w:rFonts w:ascii="Times New Roman" w:hAnsi="Times New Roman" w:cs="Times New Roman"/>
          <w:sz w:val="24"/>
        </w:rPr>
        <w:t xml:space="preserve">in a </w:t>
      </w:r>
      <w:r>
        <w:rPr>
          <w:rFonts w:ascii="Times New Roman" w:hAnsi="Times New Roman" w:cs="Times New Roman"/>
          <w:sz w:val="24"/>
        </w:rPr>
        <w:t>“</w:t>
      </w:r>
      <w:r w:rsidR="00A32F92">
        <w:rPr>
          <w:rFonts w:ascii="Times New Roman" w:hAnsi="Times New Roman" w:cs="Times New Roman"/>
          <w:sz w:val="24"/>
        </w:rPr>
        <w:t>consumer revolution</w:t>
      </w:r>
      <w:r>
        <w:rPr>
          <w:rFonts w:ascii="Times New Roman" w:hAnsi="Times New Roman" w:cs="Times New Roman"/>
          <w:sz w:val="24"/>
        </w:rPr>
        <w:t>”</w:t>
      </w:r>
      <w:r w:rsidR="00A32F92">
        <w:rPr>
          <w:rFonts w:ascii="Times New Roman" w:hAnsi="Times New Roman" w:cs="Times New Roman"/>
          <w:sz w:val="24"/>
        </w:rPr>
        <w:t xml:space="preserve"> that expanded access to luxury and imitation-luxury goods and sparked a fierce debate on the merits and </w:t>
      </w:r>
      <w:r w:rsidR="00A32F92">
        <w:rPr>
          <w:rFonts w:ascii="Times New Roman" w:hAnsi="Times New Roman" w:cs="Times New Roman"/>
          <w:sz w:val="24"/>
        </w:rPr>
        <w:lastRenderedPageBreak/>
        <w:t xml:space="preserve">dangers of </w:t>
      </w:r>
      <w:r w:rsidR="00A32F92">
        <w:rPr>
          <w:rFonts w:ascii="Times New Roman" w:hAnsi="Times New Roman" w:cs="Times New Roman"/>
          <w:i/>
          <w:sz w:val="24"/>
        </w:rPr>
        <w:t>luxe</w:t>
      </w:r>
      <w:r w:rsidR="007623A0">
        <w:rPr>
          <w:rFonts w:ascii="Times New Roman" w:hAnsi="Times New Roman" w:cs="Times New Roman"/>
          <w:sz w:val="24"/>
        </w:rPr>
        <w:t>.</w:t>
      </w:r>
      <w:r w:rsidR="00A32F92">
        <w:rPr>
          <w:rStyle w:val="FootnoteReference"/>
          <w:rFonts w:ascii="Times New Roman" w:hAnsi="Times New Roman" w:cs="Times New Roman"/>
          <w:sz w:val="24"/>
        </w:rPr>
        <w:footnoteReference w:id="30"/>
      </w:r>
    </w:p>
    <w:p w14:paraId="1C3F8011" w14:textId="66AD22EC" w:rsidR="00742478" w:rsidRDefault="007623A0" w:rsidP="00411136">
      <w:pPr>
        <w:pStyle w:val="normal0"/>
        <w:spacing w:line="240" w:lineRule="auto"/>
        <w:contextualSpacing w:val="0"/>
        <w:rPr>
          <w:rFonts w:ascii="Times New Roman" w:eastAsia="Times New Roman" w:hAnsi="Times New Roman" w:cs="Times New Roman"/>
          <w:sz w:val="24"/>
        </w:rPr>
      </w:pPr>
      <w:r>
        <w:rPr>
          <w:rFonts w:ascii="Times New Roman" w:hAnsi="Times New Roman" w:cs="Times New Roman"/>
          <w:sz w:val="24"/>
        </w:rPr>
        <w:tab/>
      </w:r>
      <w:r w:rsidR="00742478">
        <w:rPr>
          <w:rFonts w:ascii="Times New Roman" w:hAnsi="Times New Roman" w:cs="Times New Roman"/>
          <w:sz w:val="24"/>
        </w:rPr>
        <w:t xml:space="preserve">How might one speak about such sweeping change, perceived by turns as liberating and wrenching? Quite often, one spoke about commerce by speaking about Jews. </w:t>
      </w:r>
      <w:r w:rsidR="00360FF1">
        <w:rPr>
          <w:rFonts w:ascii="Times New Roman" w:hAnsi="Times New Roman" w:cs="Times New Roman"/>
          <w:sz w:val="24"/>
        </w:rPr>
        <w:t xml:space="preserve">This identification </w:t>
      </w:r>
      <w:r w:rsidR="00FE1FA6">
        <w:rPr>
          <w:rFonts w:ascii="Times New Roman" w:hAnsi="Times New Roman" w:cs="Times New Roman"/>
          <w:sz w:val="24"/>
        </w:rPr>
        <w:t xml:space="preserve">was grounded in at least a grain of truth. </w:t>
      </w:r>
      <w:r w:rsidR="00881547">
        <w:rPr>
          <w:rFonts w:ascii="Times New Roman" w:hAnsi="Times New Roman" w:cs="Times New Roman"/>
          <w:sz w:val="24"/>
        </w:rPr>
        <w:t>B</w:t>
      </w:r>
      <w:r w:rsidR="00881547">
        <w:rPr>
          <w:rFonts w:ascii="Times New Roman" w:eastAsia="Times New Roman" w:hAnsi="Times New Roman" w:cs="Times New Roman"/>
          <w:sz w:val="24"/>
        </w:rPr>
        <w:t>y the time of the revolution, for instance, Jews owned one-third of the mortgages in Alsace.</w:t>
      </w:r>
      <w:r w:rsidR="00881547">
        <w:rPr>
          <w:rFonts w:ascii="Times New Roman" w:eastAsia="Times New Roman" w:hAnsi="Times New Roman" w:cs="Times New Roman"/>
          <w:sz w:val="24"/>
          <w:vertAlign w:val="superscript"/>
        </w:rPr>
        <w:footnoteReference w:id="31"/>
      </w:r>
      <w:r w:rsidR="00881547">
        <w:rPr>
          <w:rFonts w:ascii="Times New Roman" w:eastAsia="Times New Roman" w:hAnsi="Times New Roman" w:cs="Times New Roman"/>
          <w:sz w:val="24"/>
        </w:rPr>
        <w:t xml:space="preserve"> In Paris, a small minority of the city</w:t>
      </w:r>
      <w:r w:rsidR="005817AC">
        <w:rPr>
          <w:rFonts w:ascii="Times New Roman" w:eastAsia="Times New Roman" w:hAnsi="Times New Roman" w:cs="Times New Roman"/>
          <w:sz w:val="24"/>
        </w:rPr>
        <w:t>’</w:t>
      </w:r>
      <w:r w:rsidR="00881547">
        <w:rPr>
          <w:rFonts w:ascii="Times New Roman" w:eastAsia="Times New Roman" w:hAnsi="Times New Roman" w:cs="Times New Roman"/>
          <w:sz w:val="24"/>
        </w:rPr>
        <w:t xml:space="preserve">s Jews </w:t>
      </w:r>
      <w:r w:rsidR="00235A03">
        <w:rPr>
          <w:rFonts w:ascii="Times New Roman" w:eastAsia="Times New Roman" w:hAnsi="Times New Roman" w:cs="Times New Roman"/>
          <w:sz w:val="24"/>
        </w:rPr>
        <w:t>prospered as lenders to the army and in other visible commercial roles.</w:t>
      </w:r>
      <w:r w:rsidR="00235A03">
        <w:rPr>
          <w:rStyle w:val="FootnoteReference"/>
          <w:rFonts w:ascii="Times New Roman" w:eastAsia="Times New Roman" w:hAnsi="Times New Roman" w:cs="Times New Roman"/>
          <w:sz w:val="24"/>
        </w:rPr>
        <w:footnoteReference w:id="32"/>
      </w:r>
      <w:r w:rsidR="00235A03">
        <w:rPr>
          <w:rFonts w:ascii="Times New Roman" w:eastAsia="Times New Roman" w:hAnsi="Times New Roman" w:cs="Times New Roman"/>
          <w:sz w:val="24"/>
        </w:rPr>
        <w:t xml:space="preserve"> </w:t>
      </w:r>
      <w:r w:rsidR="00F56854">
        <w:rPr>
          <w:rFonts w:ascii="Times New Roman" w:eastAsia="Times New Roman" w:hAnsi="Times New Roman" w:cs="Times New Roman"/>
          <w:sz w:val="24"/>
        </w:rPr>
        <w:t>D</w:t>
      </w:r>
      <w:r w:rsidR="00235A03">
        <w:rPr>
          <w:rFonts w:ascii="Times New Roman" w:eastAsia="Times New Roman" w:hAnsi="Times New Roman" w:cs="Times New Roman"/>
          <w:sz w:val="24"/>
        </w:rPr>
        <w:t xml:space="preserve">espite </w:t>
      </w:r>
      <w:r w:rsidR="00DF6ECB">
        <w:rPr>
          <w:rFonts w:ascii="Times New Roman" w:eastAsia="Times New Roman" w:hAnsi="Times New Roman" w:cs="Times New Roman"/>
          <w:sz w:val="24"/>
        </w:rPr>
        <w:t>France</w:t>
      </w:r>
      <w:r w:rsidR="005817AC">
        <w:rPr>
          <w:rFonts w:ascii="Times New Roman" w:eastAsia="Times New Roman" w:hAnsi="Times New Roman" w:cs="Times New Roman"/>
          <w:sz w:val="24"/>
        </w:rPr>
        <w:t>’</w:t>
      </w:r>
      <w:r w:rsidR="00DF6ECB">
        <w:rPr>
          <w:rFonts w:ascii="Times New Roman" w:eastAsia="Times New Roman" w:hAnsi="Times New Roman" w:cs="Times New Roman"/>
          <w:sz w:val="24"/>
        </w:rPr>
        <w:t xml:space="preserve">s failure to revoke </w:t>
      </w:r>
      <w:r w:rsidR="00235A03">
        <w:rPr>
          <w:rFonts w:ascii="Times New Roman" w:eastAsia="Times New Roman" w:hAnsi="Times New Roman" w:cs="Times New Roman"/>
          <w:sz w:val="24"/>
        </w:rPr>
        <w:t xml:space="preserve">a </w:t>
      </w:r>
      <w:r w:rsidR="002F5D7D">
        <w:rPr>
          <w:rFonts w:ascii="Times New Roman" w:eastAsia="Times New Roman" w:hAnsi="Times New Roman" w:cs="Times New Roman"/>
          <w:sz w:val="24"/>
        </w:rPr>
        <w:t>fourteenth</w:t>
      </w:r>
      <w:r w:rsidR="00235A03">
        <w:rPr>
          <w:rFonts w:ascii="Times New Roman" w:eastAsia="Times New Roman" w:hAnsi="Times New Roman" w:cs="Times New Roman"/>
          <w:sz w:val="24"/>
        </w:rPr>
        <w:t xml:space="preserve">-century edict </w:t>
      </w:r>
      <w:r w:rsidR="00DF6ECB">
        <w:rPr>
          <w:rFonts w:ascii="Times New Roman" w:eastAsia="Times New Roman" w:hAnsi="Times New Roman" w:cs="Times New Roman"/>
          <w:sz w:val="24"/>
        </w:rPr>
        <w:t>of expulsion</w:t>
      </w:r>
      <w:r w:rsidR="00D84496">
        <w:rPr>
          <w:rFonts w:ascii="Times New Roman" w:eastAsia="Times New Roman" w:hAnsi="Times New Roman" w:cs="Times New Roman"/>
          <w:sz w:val="24"/>
        </w:rPr>
        <w:t xml:space="preserve">, Jews were permitted </w:t>
      </w:r>
      <w:r w:rsidR="00F56854">
        <w:rPr>
          <w:rFonts w:ascii="Times New Roman" w:eastAsia="Times New Roman" w:hAnsi="Times New Roman" w:cs="Times New Roman"/>
          <w:sz w:val="24"/>
        </w:rPr>
        <w:t xml:space="preserve">in a number of cases </w:t>
      </w:r>
      <w:r w:rsidR="00D84496">
        <w:rPr>
          <w:rFonts w:ascii="Times New Roman" w:eastAsia="Times New Roman" w:hAnsi="Times New Roman" w:cs="Times New Roman"/>
          <w:sz w:val="24"/>
        </w:rPr>
        <w:t xml:space="preserve">to reside in French cities on the grounds of their commercial services. In 1698, the </w:t>
      </w:r>
      <w:r w:rsidR="00D84496" w:rsidRPr="006D5041">
        <w:rPr>
          <w:rFonts w:ascii="Times New Roman" w:eastAsia="Times New Roman" w:hAnsi="Times New Roman" w:cs="Times New Roman"/>
          <w:sz w:val="24"/>
        </w:rPr>
        <w:t xml:space="preserve">intendent </w:t>
      </w:r>
      <w:r w:rsidR="00D84496">
        <w:rPr>
          <w:rFonts w:ascii="Times New Roman" w:eastAsia="Times New Roman" w:hAnsi="Times New Roman" w:cs="Times New Roman"/>
          <w:sz w:val="24"/>
        </w:rPr>
        <w:t xml:space="preserve">of Metz defended the residence rights of Jews in his city because they imported </w:t>
      </w:r>
      <w:r w:rsidR="009A1741">
        <w:rPr>
          <w:rFonts w:ascii="Times New Roman" w:eastAsia="Times New Roman" w:hAnsi="Times New Roman" w:cs="Times New Roman"/>
          <w:sz w:val="24"/>
        </w:rPr>
        <w:t>“</w:t>
      </w:r>
      <w:r w:rsidR="00D84496">
        <w:rPr>
          <w:rFonts w:ascii="Times New Roman" w:eastAsia="Times New Roman" w:hAnsi="Times New Roman" w:cs="Times New Roman"/>
          <w:sz w:val="24"/>
        </w:rPr>
        <w:t>all sorts of merchandise</w:t>
      </w:r>
      <w:r w:rsidR="009A1741">
        <w:rPr>
          <w:rFonts w:ascii="Times New Roman" w:eastAsia="Times New Roman" w:hAnsi="Times New Roman" w:cs="Times New Roman"/>
          <w:sz w:val="24"/>
        </w:rPr>
        <w:t>.”</w:t>
      </w:r>
      <w:r w:rsidR="00D84496">
        <w:rPr>
          <w:rStyle w:val="FootnoteReference"/>
          <w:rFonts w:ascii="Times New Roman" w:eastAsia="Times New Roman" w:hAnsi="Times New Roman" w:cs="Times New Roman"/>
          <w:sz w:val="24"/>
        </w:rPr>
        <w:footnoteReference w:id="33"/>
      </w:r>
      <w:r w:rsidR="0019488D">
        <w:rPr>
          <w:rFonts w:ascii="Times New Roman" w:eastAsia="Times New Roman" w:hAnsi="Times New Roman" w:cs="Times New Roman"/>
          <w:sz w:val="24"/>
        </w:rPr>
        <w:t xml:space="preserve"> </w:t>
      </w:r>
      <w:r w:rsidR="00B76C30">
        <w:rPr>
          <w:rFonts w:ascii="Times New Roman" w:eastAsia="Times New Roman" w:hAnsi="Times New Roman" w:cs="Times New Roman"/>
          <w:sz w:val="24"/>
        </w:rPr>
        <w:t xml:space="preserve">From 1550 on, </w:t>
      </w:r>
      <w:r w:rsidR="00495AC8">
        <w:rPr>
          <w:rFonts w:ascii="Times New Roman" w:eastAsia="Times New Roman" w:hAnsi="Times New Roman" w:cs="Times New Roman"/>
          <w:sz w:val="24"/>
        </w:rPr>
        <w:t>crypto-</w:t>
      </w:r>
      <w:r w:rsidR="00525F3D">
        <w:rPr>
          <w:rFonts w:ascii="Times New Roman" w:eastAsia="Times New Roman" w:hAnsi="Times New Roman" w:cs="Times New Roman"/>
          <w:sz w:val="24"/>
        </w:rPr>
        <w:t xml:space="preserve">Jews were permitted to settle </w:t>
      </w:r>
      <w:r w:rsidR="00495AC8">
        <w:rPr>
          <w:rFonts w:ascii="Times New Roman" w:eastAsia="Times New Roman" w:hAnsi="Times New Roman" w:cs="Times New Roman"/>
          <w:sz w:val="24"/>
        </w:rPr>
        <w:t xml:space="preserve">in a number of Atlantic trading ports under the guise of </w:t>
      </w:r>
      <w:r w:rsidR="009A1741">
        <w:rPr>
          <w:rFonts w:ascii="Times New Roman" w:eastAsia="Times New Roman" w:hAnsi="Times New Roman" w:cs="Times New Roman"/>
          <w:sz w:val="24"/>
        </w:rPr>
        <w:t>“</w:t>
      </w:r>
      <w:r w:rsidR="00495AC8">
        <w:rPr>
          <w:rFonts w:ascii="Times New Roman" w:eastAsia="Times New Roman" w:hAnsi="Times New Roman" w:cs="Times New Roman"/>
          <w:sz w:val="24"/>
        </w:rPr>
        <w:t>Portuguese merchants</w:t>
      </w:r>
      <w:r w:rsidR="009A1741">
        <w:rPr>
          <w:rFonts w:ascii="Times New Roman" w:eastAsia="Times New Roman" w:hAnsi="Times New Roman" w:cs="Times New Roman"/>
          <w:sz w:val="24"/>
        </w:rPr>
        <w:t>.”</w:t>
      </w:r>
      <w:r w:rsidR="00495AC8">
        <w:rPr>
          <w:rStyle w:val="FootnoteReference"/>
          <w:rFonts w:ascii="Times New Roman" w:eastAsia="Times New Roman" w:hAnsi="Times New Roman" w:cs="Times New Roman"/>
          <w:sz w:val="24"/>
        </w:rPr>
        <w:footnoteReference w:id="34"/>
      </w:r>
      <w:r w:rsidR="00495AC8">
        <w:rPr>
          <w:rFonts w:ascii="Times New Roman" w:eastAsia="Times New Roman" w:hAnsi="Times New Roman" w:cs="Times New Roman"/>
          <w:sz w:val="24"/>
        </w:rPr>
        <w:t xml:space="preserve"> Elsewhere, the </w:t>
      </w:r>
      <w:r w:rsidR="00ED5363">
        <w:rPr>
          <w:rFonts w:ascii="Times New Roman" w:eastAsia="Times New Roman" w:hAnsi="Times New Roman" w:cs="Times New Roman"/>
          <w:sz w:val="24"/>
        </w:rPr>
        <w:t>great colonial powers</w:t>
      </w:r>
      <w:r w:rsidR="00495AC8">
        <w:rPr>
          <w:rFonts w:ascii="Times New Roman" w:eastAsia="Times New Roman" w:hAnsi="Times New Roman" w:cs="Times New Roman"/>
          <w:sz w:val="24"/>
        </w:rPr>
        <w:t xml:space="preserve"> actively sought Jewish merchants and settlers to expand trade with the New World.</w:t>
      </w:r>
      <w:r w:rsidR="00495AC8">
        <w:rPr>
          <w:rFonts w:ascii="Times New Roman" w:eastAsia="Times New Roman" w:hAnsi="Times New Roman" w:cs="Times New Roman"/>
          <w:sz w:val="24"/>
          <w:vertAlign w:val="superscript"/>
        </w:rPr>
        <w:footnoteReference w:id="35"/>
      </w:r>
      <w:r w:rsidR="00372D19">
        <w:rPr>
          <w:rFonts w:ascii="Times New Roman" w:eastAsia="Times New Roman" w:hAnsi="Times New Roman" w:cs="Times New Roman"/>
          <w:sz w:val="24"/>
        </w:rPr>
        <w:t xml:space="preserve"> </w:t>
      </w:r>
      <w:r w:rsidR="00A87C4C">
        <w:rPr>
          <w:rFonts w:ascii="Times New Roman" w:eastAsia="Times New Roman" w:hAnsi="Times New Roman" w:cs="Times New Roman"/>
          <w:sz w:val="24"/>
        </w:rPr>
        <w:t>In all, this disproportionate</w:t>
      </w:r>
      <w:r w:rsidR="00A3755A">
        <w:rPr>
          <w:rFonts w:ascii="Times New Roman" w:eastAsia="Times New Roman" w:hAnsi="Times New Roman" w:cs="Times New Roman"/>
          <w:sz w:val="24"/>
        </w:rPr>
        <w:t>,</w:t>
      </w:r>
      <w:r w:rsidR="00A87C4C">
        <w:rPr>
          <w:rFonts w:ascii="Times New Roman" w:eastAsia="Times New Roman" w:hAnsi="Times New Roman" w:cs="Times New Roman"/>
          <w:sz w:val="24"/>
        </w:rPr>
        <w:t xml:space="preserve"> though not dominant</w:t>
      </w:r>
      <w:r w:rsidR="00A3755A">
        <w:rPr>
          <w:rFonts w:ascii="Times New Roman" w:eastAsia="Times New Roman" w:hAnsi="Times New Roman" w:cs="Times New Roman"/>
          <w:sz w:val="24"/>
        </w:rPr>
        <w:t>,</w:t>
      </w:r>
      <w:r w:rsidR="00A87C4C">
        <w:rPr>
          <w:rFonts w:ascii="Times New Roman" w:eastAsia="Times New Roman" w:hAnsi="Times New Roman" w:cs="Times New Roman"/>
          <w:sz w:val="24"/>
        </w:rPr>
        <w:t xml:space="preserve"> role in trade and finance (itself the product of longstanding restrictions on employment) </w:t>
      </w:r>
      <w:r w:rsidR="009215B7">
        <w:rPr>
          <w:rFonts w:ascii="Times New Roman" w:eastAsia="Times New Roman" w:hAnsi="Times New Roman" w:cs="Times New Roman"/>
          <w:sz w:val="24"/>
        </w:rPr>
        <w:t xml:space="preserve">helped make Jews </w:t>
      </w:r>
      <w:r w:rsidR="009A1741">
        <w:rPr>
          <w:rFonts w:ascii="Times New Roman" w:eastAsia="Times New Roman" w:hAnsi="Times New Roman" w:cs="Times New Roman"/>
          <w:sz w:val="24"/>
        </w:rPr>
        <w:t>“</w:t>
      </w:r>
      <w:r w:rsidR="00742478">
        <w:rPr>
          <w:rFonts w:ascii="Times New Roman" w:eastAsia="Times New Roman" w:hAnsi="Times New Roman" w:cs="Times New Roman"/>
          <w:sz w:val="24"/>
        </w:rPr>
        <w:t>a significant barometer of the changes that were taking place in France as a whole</w:t>
      </w:r>
      <w:r w:rsidR="009A1741">
        <w:rPr>
          <w:rFonts w:ascii="Times New Roman" w:eastAsia="Times New Roman" w:hAnsi="Times New Roman" w:cs="Times New Roman"/>
          <w:sz w:val="24"/>
        </w:rPr>
        <w:t>.”</w:t>
      </w:r>
      <w:r w:rsidR="00742478">
        <w:rPr>
          <w:rFonts w:ascii="Times New Roman" w:eastAsia="Times New Roman" w:hAnsi="Times New Roman" w:cs="Times New Roman"/>
          <w:sz w:val="24"/>
          <w:vertAlign w:val="superscript"/>
        </w:rPr>
        <w:footnoteReference w:id="36"/>
      </w:r>
    </w:p>
    <w:p w14:paraId="3ED0C836" w14:textId="58083E03" w:rsidR="009215B7" w:rsidRPr="001A1122" w:rsidRDefault="009215B7" w:rsidP="00411136">
      <w:pPr>
        <w:pStyle w:val="normal0"/>
        <w:spacing w:line="240" w:lineRule="auto"/>
        <w:contextualSpacing w:val="0"/>
        <w:rPr>
          <w:rFonts w:ascii="Times New Roman" w:eastAsia="Times New Roman" w:hAnsi="Times New Roman" w:cs="Times New Roman"/>
          <w:sz w:val="24"/>
        </w:rPr>
      </w:pPr>
      <w:r>
        <w:rPr>
          <w:rFonts w:ascii="Times New Roman" w:eastAsia="Times New Roman" w:hAnsi="Times New Roman" w:cs="Times New Roman"/>
          <w:sz w:val="24"/>
        </w:rPr>
        <w:tab/>
      </w:r>
      <w:r w:rsidR="00F77BD7">
        <w:rPr>
          <w:rFonts w:ascii="Times New Roman" w:eastAsia="Times New Roman" w:hAnsi="Times New Roman" w:cs="Times New Roman"/>
          <w:sz w:val="24"/>
        </w:rPr>
        <w:t xml:space="preserve">Still, why make </w:t>
      </w:r>
      <w:r w:rsidR="00CF0BF3">
        <w:rPr>
          <w:rFonts w:ascii="Times New Roman" w:eastAsia="Times New Roman" w:hAnsi="Times New Roman" w:cs="Times New Roman"/>
          <w:sz w:val="24"/>
        </w:rPr>
        <w:t xml:space="preserve">such </w:t>
      </w:r>
      <w:r w:rsidR="00F77BD7">
        <w:rPr>
          <w:rFonts w:ascii="Times New Roman" w:eastAsia="Times New Roman" w:hAnsi="Times New Roman" w:cs="Times New Roman"/>
          <w:sz w:val="24"/>
        </w:rPr>
        <w:t>a barometer</w:t>
      </w:r>
      <w:r w:rsidR="00CF0BF3">
        <w:rPr>
          <w:rFonts w:ascii="Times New Roman" w:eastAsia="Times New Roman" w:hAnsi="Times New Roman" w:cs="Times New Roman"/>
          <w:sz w:val="24"/>
        </w:rPr>
        <w:t xml:space="preserve"> out of a minority that numbered only some 40,000 by century</w:t>
      </w:r>
      <w:r w:rsidR="005817AC">
        <w:rPr>
          <w:rFonts w:ascii="Times New Roman" w:eastAsia="Times New Roman" w:hAnsi="Times New Roman" w:cs="Times New Roman"/>
          <w:sz w:val="24"/>
        </w:rPr>
        <w:t>’</w:t>
      </w:r>
      <w:r w:rsidR="00CF0BF3">
        <w:rPr>
          <w:rFonts w:ascii="Times New Roman" w:eastAsia="Times New Roman" w:hAnsi="Times New Roman" w:cs="Times New Roman"/>
          <w:sz w:val="24"/>
        </w:rPr>
        <w:t xml:space="preserve">s end—out of a people that remained on aggregate impoverished and disenfranchised, 80 percent of whom were officially recorded a </w:t>
      </w:r>
      <w:r w:rsidR="009A1741">
        <w:rPr>
          <w:rFonts w:ascii="Times New Roman" w:eastAsia="Times New Roman" w:hAnsi="Times New Roman" w:cs="Times New Roman"/>
          <w:sz w:val="24"/>
        </w:rPr>
        <w:t>“</w:t>
      </w:r>
      <w:r w:rsidR="00CF0BF3">
        <w:rPr>
          <w:rFonts w:ascii="Times New Roman" w:eastAsia="Times New Roman" w:hAnsi="Times New Roman" w:cs="Times New Roman"/>
          <w:sz w:val="24"/>
        </w:rPr>
        <w:t>poor</w:t>
      </w:r>
      <w:r w:rsidR="009A1741">
        <w:rPr>
          <w:rFonts w:ascii="Times New Roman" w:eastAsia="Times New Roman" w:hAnsi="Times New Roman" w:cs="Times New Roman"/>
          <w:sz w:val="24"/>
        </w:rPr>
        <w:t>”</w:t>
      </w:r>
      <w:r w:rsidR="00CF0BF3">
        <w:rPr>
          <w:rFonts w:ascii="Times New Roman" w:eastAsia="Times New Roman" w:hAnsi="Times New Roman" w:cs="Times New Roman"/>
          <w:sz w:val="24"/>
        </w:rPr>
        <w:t xml:space="preserve"> in Metz in 1790, and who faced four separate </w:t>
      </w:r>
      <w:r w:rsidR="002F5D7D">
        <w:rPr>
          <w:rFonts w:ascii="Times New Roman" w:eastAsia="Times New Roman" w:hAnsi="Times New Roman" w:cs="Times New Roman"/>
          <w:sz w:val="24"/>
        </w:rPr>
        <w:t>eighteenth</w:t>
      </w:r>
      <w:r w:rsidR="00E85B57">
        <w:rPr>
          <w:rFonts w:ascii="Times New Roman" w:eastAsia="Times New Roman" w:hAnsi="Times New Roman" w:cs="Times New Roman"/>
          <w:sz w:val="24"/>
        </w:rPr>
        <w:t xml:space="preserve">-century </w:t>
      </w:r>
      <w:r w:rsidR="007E05F0" w:rsidRPr="001A1122">
        <w:rPr>
          <w:rFonts w:ascii="Times New Roman" w:eastAsia="Times New Roman" w:hAnsi="Times New Roman" w:cs="Times New Roman"/>
          <w:sz w:val="24"/>
        </w:rPr>
        <w:t>expulsions</w:t>
      </w:r>
      <w:r w:rsidR="00CF0BF3" w:rsidRPr="001A1122">
        <w:rPr>
          <w:rFonts w:ascii="Times New Roman" w:eastAsia="Times New Roman" w:hAnsi="Times New Roman" w:cs="Times New Roman"/>
          <w:sz w:val="24"/>
        </w:rPr>
        <w:t xml:space="preserve"> from Bordeaux alone on grounds of poverty? </w:t>
      </w:r>
      <w:r w:rsidR="00945871" w:rsidRPr="001A1122">
        <w:rPr>
          <w:rFonts w:ascii="Times New Roman" w:eastAsia="Times New Roman" w:hAnsi="Times New Roman" w:cs="Times New Roman"/>
          <w:sz w:val="24"/>
        </w:rPr>
        <w:t xml:space="preserve">As Schechter puts it, borrowing a phrase from Claude Lévi-Strauss, Jews were </w:t>
      </w:r>
      <w:r w:rsidR="009A1741">
        <w:rPr>
          <w:rFonts w:ascii="Times New Roman" w:eastAsia="Times New Roman" w:hAnsi="Times New Roman" w:cs="Times New Roman"/>
          <w:sz w:val="24"/>
        </w:rPr>
        <w:t>“</w:t>
      </w:r>
      <w:r w:rsidR="00945871" w:rsidRPr="001A1122">
        <w:rPr>
          <w:rFonts w:ascii="Times New Roman" w:eastAsia="Times New Roman" w:hAnsi="Times New Roman" w:cs="Times New Roman"/>
          <w:sz w:val="24"/>
        </w:rPr>
        <w:t>good to think</w:t>
      </w:r>
      <w:r w:rsidR="009A1741">
        <w:rPr>
          <w:rFonts w:ascii="Times New Roman" w:eastAsia="Times New Roman" w:hAnsi="Times New Roman" w:cs="Times New Roman"/>
          <w:sz w:val="24"/>
        </w:rPr>
        <w:t>.”</w:t>
      </w:r>
      <w:r w:rsidR="00945871" w:rsidRPr="001A1122">
        <w:rPr>
          <w:rStyle w:val="FootnoteReference"/>
          <w:rFonts w:ascii="Times New Roman" w:eastAsia="Times New Roman" w:hAnsi="Times New Roman" w:cs="Times New Roman"/>
          <w:sz w:val="24"/>
        </w:rPr>
        <w:footnoteReference w:id="37"/>
      </w:r>
      <w:r w:rsidR="00945871" w:rsidRPr="001A1122">
        <w:rPr>
          <w:rFonts w:ascii="Times New Roman" w:eastAsia="Times New Roman" w:hAnsi="Times New Roman" w:cs="Times New Roman"/>
          <w:sz w:val="24"/>
        </w:rPr>
        <w:t xml:space="preserve"> </w:t>
      </w:r>
      <w:r w:rsidR="00AA41F2" w:rsidRPr="001A1122">
        <w:rPr>
          <w:rFonts w:ascii="Times New Roman" w:eastAsia="Times New Roman" w:hAnsi="Times New Roman" w:cs="Times New Roman"/>
          <w:sz w:val="24"/>
        </w:rPr>
        <w:t xml:space="preserve">They were a </w:t>
      </w:r>
      <w:r w:rsidR="00651214">
        <w:rPr>
          <w:rFonts w:ascii="Times New Roman" w:eastAsia="Times New Roman" w:hAnsi="Times New Roman" w:cs="Times New Roman"/>
          <w:sz w:val="24"/>
        </w:rPr>
        <w:t xml:space="preserve">hugely </w:t>
      </w:r>
      <w:r w:rsidR="00AA41F2" w:rsidRPr="001A1122">
        <w:rPr>
          <w:rFonts w:ascii="Times New Roman" w:eastAsia="Times New Roman" w:hAnsi="Times New Roman" w:cs="Times New Roman"/>
          <w:sz w:val="24"/>
        </w:rPr>
        <w:t xml:space="preserve">useful </w:t>
      </w:r>
      <w:r w:rsidR="009A1741">
        <w:rPr>
          <w:rFonts w:ascii="Times New Roman" w:eastAsia="Times New Roman" w:hAnsi="Times New Roman" w:cs="Times New Roman"/>
          <w:sz w:val="24"/>
        </w:rPr>
        <w:t>“</w:t>
      </w:r>
      <w:r w:rsidR="00AA41F2" w:rsidRPr="001A1122">
        <w:rPr>
          <w:rFonts w:ascii="Times New Roman" w:eastAsia="Times New Roman" w:hAnsi="Times New Roman" w:cs="Times New Roman"/>
          <w:sz w:val="24"/>
        </w:rPr>
        <w:t>other</w:t>
      </w:r>
      <w:r w:rsidR="009A1741">
        <w:rPr>
          <w:rFonts w:ascii="Times New Roman" w:eastAsia="Times New Roman" w:hAnsi="Times New Roman" w:cs="Times New Roman"/>
          <w:sz w:val="24"/>
        </w:rPr>
        <w:t>”</w:t>
      </w:r>
      <w:r w:rsidR="00AA41F2" w:rsidRPr="001A1122">
        <w:rPr>
          <w:rFonts w:ascii="Times New Roman" w:eastAsia="Times New Roman" w:hAnsi="Times New Roman" w:cs="Times New Roman"/>
          <w:sz w:val="24"/>
        </w:rPr>
        <w:t xml:space="preserve"> in Enlightenment discourse, across a breadth of subjects from nationalism to secularism; and among those topics, they were valuable as the prototypical people of commerce. In this regard, the imagined commercial Jew carried far more weight than Jewish reality.</w:t>
      </w:r>
    </w:p>
    <w:p w14:paraId="3A9B2CDF" w14:textId="4EF7591D" w:rsidR="00D062C3" w:rsidRDefault="001A1122" w:rsidP="00411136">
      <w:pPr>
        <w:pStyle w:val="normal0"/>
        <w:spacing w:line="240" w:lineRule="auto"/>
        <w:contextualSpacing w:val="0"/>
        <w:rPr>
          <w:rFonts w:ascii="Times New Roman" w:eastAsia="Times New Roman" w:hAnsi="Times New Roman" w:cs="Times New Roman"/>
          <w:sz w:val="24"/>
        </w:rPr>
      </w:pPr>
      <w:r w:rsidRPr="001A1122">
        <w:rPr>
          <w:rFonts w:ascii="Times New Roman" w:eastAsia="Times New Roman" w:hAnsi="Times New Roman" w:cs="Times New Roman"/>
          <w:sz w:val="24"/>
        </w:rPr>
        <w:tab/>
        <w:t xml:space="preserve">Consider the value of the Jewish metaphor to </w:t>
      </w:r>
      <w:r w:rsidR="00D03658">
        <w:rPr>
          <w:rFonts w:ascii="Times New Roman" w:eastAsia="Times New Roman" w:hAnsi="Times New Roman" w:cs="Times New Roman"/>
          <w:sz w:val="24"/>
        </w:rPr>
        <w:t>critics</w:t>
      </w:r>
      <w:r w:rsidRPr="001A1122">
        <w:rPr>
          <w:rFonts w:ascii="Times New Roman" w:eastAsia="Times New Roman" w:hAnsi="Times New Roman" w:cs="Times New Roman"/>
          <w:sz w:val="24"/>
        </w:rPr>
        <w:t xml:space="preserve"> of expanded commerce. As Jonathan Karp writes, the idea of </w:t>
      </w:r>
      <w:r w:rsidR="009A1741">
        <w:rPr>
          <w:rFonts w:ascii="Times New Roman" w:hAnsi="Times New Roman" w:cs="Times New Roman"/>
          <w:sz w:val="24"/>
        </w:rPr>
        <w:t>“</w:t>
      </w:r>
      <w:r w:rsidRPr="001A1122">
        <w:rPr>
          <w:rFonts w:ascii="Times New Roman" w:hAnsi="Times New Roman" w:cs="Times New Roman"/>
          <w:sz w:val="24"/>
        </w:rPr>
        <w:t xml:space="preserve">a specifically </w:t>
      </w:r>
      <w:r w:rsidRPr="001A1122">
        <w:rPr>
          <w:rFonts w:ascii="Times New Roman" w:hAnsi="Times New Roman" w:cs="Times New Roman"/>
          <w:i/>
          <w:sz w:val="24"/>
        </w:rPr>
        <w:t>Jewish</w:t>
      </w:r>
      <w:r w:rsidRPr="001A1122">
        <w:rPr>
          <w:rFonts w:ascii="Times New Roman" w:hAnsi="Times New Roman" w:cs="Times New Roman"/>
          <w:sz w:val="24"/>
        </w:rPr>
        <w:t xml:space="preserve"> commerce…served to abstract various types of activities from the generality of economic life and, th</w:t>
      </w:r>
      <w:r w:rsidR="00A3755A">
        <w:rPr>
          <w:rFonts w:ascii="Times New Roman" w:hAnsi="Times New Roman" w:cs="Times New Roman"/>
          <w:sz w:val="24"/>
        </w:rPr>
        <w:t>r</w:t>
      </w:r>
      <w:r w:rsidRPr="001A1122">
        <w:rPr>
          <w:rFonts w:ascii="Times New Roman" w:hAnsi="Times New Roman" w:cs="Times New Roman"/>
          <w:sz w:val="24"/>
        </w:rPr>
        <w:t xml:space="preserve">ough their </w:t>
      </w:r>
      <w:r w:rsidRPr="001A1122">
        <w:rPr>
          <w:rFonts w:ascii="Times New Roman" w:hAnsi="Times New Roman" w:cs="Times New Roman"/>
          <w:sz w:val="24"/>
        </w:rPr>
        <w:lastRenderedPageBreak/>
        <w:t>association with stigmatized Jews, make them vehicles for expressing widely felt anxieties about commerce in a manner that was politically safe and psychically tolerable</w:t>
      </w:r>
      <w:r w:rsidR="009A1741">
        <w:rPr>
          <w:rFonts w:ascii="Times New Roman" w:hAnsi="Times New Roman" w:cs="Times New Roman"/>
          <w:sz w:val="24"/>
        </w:rPr>
        <w:t>.”</w:t>
      </w:r>
      <w:r>
        <w:rPr>
          <w:rStyle w:val="FootnoteReference"/>
          <w:rFonts w:ascii="Times New Roman" w:hAnsi="Times New Roman" w:cs="Times New Roman"/>
          <w:sz w:val="24"/>
        </w:rPr>
        <w:footnoteReference w:id="38"/>
      </w:r>
      <w:r>
        <w:rPr>
          <w:rFonts w:ascii="Times New Roman" w:hAnsi="Times New Roman" w:cs="Times New Roman"/>
          <w:sz w:val="24"/>
        </w:rPr>
        <w:t xml:space="preserve"> </w:t>
      </w:r>
      <w:r w:rsidR="00E07A1A">
        <w:rPr>
          <w:rFonts w:ascii="Times New Roman" w:hAnsi="Times New Roman" w:cs="Times New Roman"/>
          <w:sz w:val="24"/>
        </w:rPr>
        <w:t xml:space="preserve">In France and its neighbors, </w:t>
      </w:r>
      <w:r w:rsidR="009E2174">
        <w:rPr>
          <w:rFonts w:ascii="Times New Roman" w:hAnsi="Times New Roman" w:cs="Times New Roman"/>
          <w:sz w:val="24"/>
        </w:rPr>
        <w:t xml:space="preserve">a </w:t>
      </w:r>
      <w:r w:rsidR="002A3F8F">
        <w:rPr>
          <w:rFonts w:ascii="Times New Roman" w:hAnsi="Times New Roman" w:cs="Times New Roman"/>
          <w:sz w:val="24"/>
        </w:rPr>
        <w:t xml:space="preserve">tradition of anti-commercial </w:t>
      </w:r>
      <w:r w:rsidR="004078A7">
        <w:rPr>
          <w:rFonts w:ascii="Times New Roman" w:hAnsi="Times New Roman" w:cs="Times New Roman"/>
          <w:sz w:val="24"/>
        </w:rPr>
        <w:t>references to Jews</w:t>
      </w:r>
      <w:r w:rsidR="002A3F8F">
        <w:rPr>
          <w:rFonts w:ascii="Times New Roman" w:hAnsi="Times New Roman" w:cs="Times New Roman"/>
          <w:sz w:val="24"/>
        </w:rPr>
        <w:t xml:space="preserve"> both p</w:t>
      </w:r>
      <w:r w:rsidR="00290F67">
        <w:rPr>
          <w:rFonts w:ascii="Times New Roman" w:hAnsi="Times New Roman" w:cs="Times New Roman"/>
          <w:sz w:val="24"/>
        </w:rPr>
        <w:t>receded and outlived Voltaire</w:t>
      </w:r>
      <w:r w:rsidR="009E2174">
        <w:rPr>
          <w:rFonts w:ascii="Times New Roman" w:hAnsi="Times New Roman" w:cs="Times New Roman"/>
          <w:sz w:val="24"/>
        </w:rPr>
        <w:t xml:space="preserve"> and Montesquieu</w:t>
      </w:r>
      <w:r w:rsidR="00290F67">
        <w:rPr>
          <w:rFonts w:ascii="Times New Roman" w:hAnsi="Times New Roman" w:cs="Times New Roman"/>
          <w:sz w:val="24"/>
        </w:rPr>
        <w:t xml:space="preserve">. In 1656, for instance, the English </w:t>
      </w:r>
      <w:r w:rsidR="00D64D83">
        <w:rPr>
          <w:rFonts w:ascii="Times New Roman" w:hAnsi="Times New Roman" w:cs="Times New Roman"/>
          <w:sz w:val="24"/>
        </w:rPr>
        <w:t xml:space="preserve">republican James Harrington attributed indulgence in trade and even deforestation to </w:t>
      </w:r>
      <w:r w:rsidR="009A1741">
        <w:rPr>
          <w:rFonts w:ascii="Times New Roman" w:hAnsi="Times New Roman" w:cs="Times New Roman"/>
          <w:sz w:val="24"/>
        </w:rPr>
        <w:t>“</w:t>
      </w:r>
      <w:r w:rsidR="00D64D83">
        <w:rPr>
          <w:rFonts w:ascii="Times New Roman" w:hAnsi="Times New Roman" w:cs="Times New Roman"/>
          <w:sz w:val="24"/>
        </w:rPr>
        <w:t>such a Jewish humor</w:t>
      </w:r>
      <w:r w:rsidR="009A1741">
        <w:rPr>
          <w:rFonts w:ascii="Times New Roman" w:hAnsi="Times New Roman" w:cs="Times New Roman"/>
          <w:sz w:val="24"/>
        </w:rPr>
        <w:t>”</w:t>
      </w:r>
      <w:r w:rsidR="00D64D83">
        <w:rPr>
          <w:rFonts w:ascii="Times New Roman" w:hAnsi="Times New Roman" w:cs="Times New Roman"/>
          <w:sz w:val="24"/>
        </w:rPr>
        <w:t xml:space="preserve"> and advised that </w:t>
      </w:r>
      <w:r w:rsidR="009A1741">
        <w:rPr>
          <w:rFonts w:ascii="Times New Roman" w:hAnsi="Times New Roman" w:cs="Times New Roman"/>
          <w:sz w:val="24"/>
        </w:rPr>
        <w:t>“</w:t>
      </w:r>
      <w:r w:rsidR="00D64D83">
        <w:rPr>
          <w:rFonts w:ascii="Times New Roman" w:hAnsi="Times New Roman" w:cs="Times New Roman"/>
          <w:sz w:val="24"/>
        </w:rPr>
        <w:t>they who did such things would never have made a commonwealth</w:t>
      </w:r>
      <w:r w:rsidR="009A1741">
        <w:rPr>
          <w:rFonts w:ascii="Times New Roman" w:hAnsi="Times New Roman" w:cs="Times New Roman"/>
          <w:sz w:val="24"/>
        </w:rPr>
        <w:t>.”</w:t>
      </w:r>
      <w:r w:rsidR="00D64D83">
        <w:rPr>
          <w:rStyle w:val="FootnoteReference"/>
          <w:rFonts w:ascii="Times New Roman" w:hAnsi="Times New Roman" w:cs="Times New Roman"/>
          <w:sz w:val="24"/>
        </w:rPr>
        <w:footnoteReference w:id="39"/>
      </w:r>
      <w:r w:rsidR="00FF5CCF">
        <w:rPr>
          <w:rFonts w:ascii="Times New Roman" w:hAnsi="Times New Roman" w:cs="Times New Roman"/>
          <w:sz w:val="24"/>
        </w:rPr>
        <w:t xml:space="preserve"> </w:t>
      </w:r>
      <w:r w:rsidR="00EB2299">
        <w:rPr>
          <w:rFonts w:ascii="Times New Roman" w:hAnsi="Times New Roman" w:cs="Times New Roman"/>
          <w:sz w:val="24"/>
        </w:rPr>
        <w:t xml:space="preserve">Similarly, </w:t>
      </w:r>
      <w:r w:rsidR="00EB2299">
        <w:rPr>
          <w:rFonts w:ascii="Times New Roman" w:eastAsia="Times New Roman" w:hAnsi="Times New Roman" w:cs="Times New Roman"/>
          <w:sz w:val="24"/>
        </w:rPr>
        <w:t xml:space="preserve">among writers who considered trade and finance to be parasitic on </w:t>
      </w:r>
      <w:r w:rsidR="009A1741">
        <w:rPr>
          <w:rFonts w:ascii="Times New Roman" w:eastAsia="Times New Roman" w:hAnsi="Times New Roman" w:cs="Times New Roman"/>
          <w:sz w:val="24"/>
        </w:rPr>
        <w:t>“</w:t>
      </w:r>
      <w:r w:rsidR="00EB2299">
        <w:rPr>
          <w:rFonts w:ascii="Times New Roman" w:eastAsia="Times New Roman" w:hAnsi="Times New Roman" w:cs="Times New Roman"/>
          <w:sz w:val="24"/>
        </w:rPr>
        <w:t>productive</w:t>
      </w:r>
      <w:r w:rsidR="009A1741">
        <w:rPr>
          <w:rFonts w:ascii="Times New Roman" w:eastAsia="Times New Roman" w:hAnsi="Times New Roman" w:cs="Times New Roman"/>
          <w:sz w:val="24"/>
        </w:rPr>
        <w:t>”</w:t>
      </w:r>
      <w:r w:rsidR="00EB2299">
        <w:rPr>
          <w:rFonts w:ascii="Times New Roman" w:eastAsia="Times New Roman" w:hAnsi="Times New Roman" w:cs="Times New Roman"/>
          <w:sz w:val="24"/>
        </w:rPr>
        <w:t xml:space="preserve"> economic activity, Jews almost inevitably came in for criticism. </w:t>
      </w:r>
      <w:r w:rsidR="00D12C68">
        <w:rPr>
          <w:rFonts w:ascii="Times New Roman" w:eastAsia="Times New Roman" w:hAnsi="Times New Roman" w:cs="Times New Roman"/>
          <w:sz w:val="24"/>
        </w:rPr>
        <w:t xml:space="preserve">Among them was </w:t>
      </w:r>
      <w:r w:rsidR="00EB2299">
        <w:rPr>
          <w:rFonts w:ascii="Times New Roman" w:eastAsia="Times New Roman" w:hAnsi="Times New Roman" w:cs="Times New Roman"/>
          <w:sz w:val="24"/>
        </w:rPr>
        <w:t>the Mantuan</w:t>
      </w:r>
      <w:r w:rsidR="00D12C68">
        <w:rPr>
          <w:rFonts w:ascii="Times New Roman" w:eastAsia="Times New Roman" w:hAnsi="Times New Roman" w:cs="Times New Roman"/>
          <w:sz w:val="24"/>
        </w:rPr>
        <w:t xml:space="preserve"> physician Bernardino Ramazzini, who in 1713 </w:t>
      </w:r>
      <w:r w:rsidR="00EB2299">
        <w:rPr>
          <w:rFonts w:ascii="Times New Roman" w:eastAsia="Times New Roman" w:hAnsi="Times New Roman" w:cs="Times New Roman"/>
          <w:sz w:val="24"/>
        </w:rPr>
        <w:t xml:space="preserve">described Jews as </w:t>
      </w:r>
      <w:r w:rsidR="009A1741">
        <w:rPr>
          <w:rFonts w:ascii="Times New Roman" w:eastAsia="Times New Roman" w:hAnsi="Times New Roman" w:cs="Times New Roman"/>
          <w:sz w:val="24"/>
        </w:rPr>
        <w:t>“</w:t>
      </w:r>
      <w:r w:rsidR="00EB2299">
        <w:rPr>
          <w:rFonts w:ascii="Times New Roman" w:eastAsia="Times New Roman" w:hAnsi="Times New Roman" w:cs="Times New Roman"/>
          <w:sz w:val="24"/>
        </w:rPr>
        <w:t>a lazy race, but active in business; they do not plow, harrow, or sow, but they always reap</w:t>
      </w:r>
      <w:r w:rsidR="009A1741">
        <w:rPr>
          <w:rFonts w:ascii="Times New Roman" w:eastAsia="Times New Roman" w:hAnsi="Times New Roman" w:cs="Times New Roman"/>
          <w:sz w:val="24"/>
        </w:rPr>
        <w:t>.”</w:t>
      </w:r>
      <w:r w:rsidR="00EB2299">
        <w:rPr>
          <w:rFonts w:ascii="Times New Roman" w:eastAsia="Times New Roman" w:hAnsi="Times New Roman" w:cs="Times New Roman"/>
          <w:sz w:val="24"/>
          <w:vertAlign w:val="superscript"/>
        </w:rPr>
        <w:footnoteReference w:id="40"/>
      </w:r>
    </w:p>
    <w:p w14:paraId="06B6291A" w14:textId="4340F1F9" w:rsidR="00BA3DAA" w:rsidRDefault="00D728D6" w:rsidP="00411136">
      <w:pPr>
        <w:pStyle w:val="normal0"/>
        <w:spacing w:line="240" w:lineRule="auto"/>
        <w:ind w:firstLine="720"/>
        <w:contextualSpacing w:val="0"/>
        <w:rPr>
          <w:rFonts w:ascii="Times New Roman" w:eastAsia="Times New Roman" w:hAnsi="Times New Roman" w:cs="Times New Roman"/>
          <w:sz w:val="24"/>
        </w:rPr>
      </w:pPr>
      <w:r>
        <w:rPr>
          <w:rFonts w:ascii="Times New Roman" w:eastAsia="Times New Roman" w:hAnsi="Times New Roman" w:cs="Times New Roman"/>
          <w:sz w:val="24"/>
        </w:rPr>
        <w:t>In fact, those who stressed the primacy of plowing over trading—whether out of nostalgia, civic republicanism, or physiocratic economics</w:t>
      </w:r>
      <w:r w:rsidR="004078A7">
        <w:rPr>
          <w:rFonts w:ascii="Times New Roman" w:eastAsia="Times New Roman" w:hAnsi="Times New Roman" w:cs="Times New Roman"/>
          <w:sz w:val="24"/>
        </w:rPr>
        <w:t>—often fo</w:t>
      </w:r>
      <w:r w:rsidR="009E2174">
        <w:rPr>
          <w:rFonts w:ascii="Times New Roman" w:eastAsia="Times New Roman" w:hAnsi="Times New Roman" w:cs="Times New Roman"/>
          <w:sz w:val="24"/>
        </w:rPr>
        <w:t xml:space="preserve">und a useful foil in the Jews. </w:t>
      </w:r>
      <w:r w:rsidR="00370174">
        <w:rPr>
          <w:rFonts w:ascii="Times New Roman" w:eastAsia="Times New Roman" w:hAnsi="Times New Roman" w:cs="Times New Roman"/>
          <w:sz w:val="24"/>
        </w:rPr>
        <w:t>François Hell</w:t>
      </w:r>
      <w:r w:rsidR="005817AC">
        <w:rPr>
          <w:rFonts w:ascii="Times New Roman" w:eastAsia="Times New Roman" w:hAnsi="Times New Roman" w:cs="Times New Roman"/>
          <w:sz w:val="24"/>
        </w:rPr>
        <w:t>’</w:t>
      </w:r>
      <w:r w:rsidR="00370174">
        <w:rPr>
          <w:rFonts w:ascii="Times New Roman" w:eastAsia="Times New Roman" w:hAnsi="Times New Roman" w:cs="Times New Roman"/>
          <w:sz w:val="24"/>
        </w:rPr>
        <w:t xml:space="preserve">s notorious 1779 pamphlet on Jewish usury—published in the midst of a high-profile controversy over forged receipts that claimed to absolve Christian debtors—mixed denunciations of Jewish lenders with Rousseauian </w:t>
      </w:r>
      <w:r w:rsidR="00D5139A">
        <w:rPr>
          <w:rFonts w:ascii="Times New Roman" w:eastAsia="Times New Roman" w:hAnsi="Times New Roman" w:cs="Times New Roman"/>
          <w:sz w:val="24"/>
        </w:rPr>
        <w:t>portrayals of simple peasant citizens and degrading commerce.</w:t>
      </w:r>
      <w:r w:rsidR="00D5139A">
        <w:rPr>
          <w:rStyle w:val="FootnoteReference"/>
          <w:rFonts w:ascii="Times New Roman" w:eastAsia="Times New Roman" w:hAnsi="Times New Roman" w:cs="Times New Roman"/>
          <w:sz w:val="24"/>
        </w:rPr>
        <w:footnoteReference w:id="41"/>
      </w:r>
      <w:r w:rsidR="00D5139A">
        <w:rPr>
          <w:rFonts w:ascii="Times New Roman" w:eastAsia="Times New Roman" w:hAnsi="Times New Roman" w:cs="Times New Roman"/>
          <w:sz w:val="24"/>
        </w:rPr>
        <w:t xml:space="preserve"> On the other hand, the </w:t>
      </w:r>
      <w:r w:rsidR="009721A8">
        <w:rPr>
          <w:rFonts w:ascii="Times New Roman" w:eastAsia="Times New Roman" w:hAnsi="Times New Roman" w:cs="Times New Roman"/>
          <w:sz w:val="24"/>
        </w:rPr>
        <w:t xml:space="preserve">French </w:t>
      </w:r>
      <w:r w:rsidR="00D5139A">
        <w:rPr>
          <w:rFonts w:ascii="Times New Roman" w:eastAsia="Times New Roman" w:hAnsi="Times New Roman" w:cs="Times New Roman"/>
          <w:sz w:val="24"/>
        </w:rPr>
        <w:t xml:space="preserve">literature </w:t>
      </w:r>
      <w:r w:rsidR="009721A8">
        <w:rPr>
          <w:rFonts w:ascii="Times New Roman" w:eastAsia="Times New Roman" w:hAnsi="Times New Roman" w:cs="Times New Roman"/>
          <w:sz w:val="24"/>
        </w:rPr>
        <w:t xml:space="preserve">on </w:t>
      </w:r>
      <w:r w:rsidR="00D5139A">
        <w:rPr>
          <w:rFonts w:ascii="Times New Roman" w:eastAsia="Times New Roman" w:hAnsi="Times New Roman" w:cs="Times New Roman"/>
          <w:sz w:val="24"/>
        </w:rPr>
        <w:t xml:space="preserve">Jewish </w:t>
      </w:r>
      <w:r w:rsidR="009A1741">
        <w:rPr>
          <w:rFonts w:ascii="Times New Roman" w:eastAsia="Times New Roman" w:hAnsi="Times New Roman" w:cs="Times New Roman"/>
          <w:sz w:val="24"/>
        </w:rPr>
        <w:t>“</w:t>
      </w:r>
      <w:r w:rsidR="00D5139A">
        <w:rPr>
          <w:rFonts w:ascii="Times New Roman" w:eastAsia="Times New Roman" w:hAnsi="Times New Roman" w:cs="Times New Roman"/>
          <w:sz w:val="24"/>
        </w:rPr>
        <w:t>regeneration</w:t>
      </w:r>
      <w:r w:rsidR="009A1741">
        <w:rPr>
          <w:rFonts w:ascii="Times New Roman" w:eastAsia="Times New Roman" w:hAnsi="Times New Roman" w:cs="Times New Roman"/>
          <w:sz w:val="24"/>
        </w:rPr>
        <w:t>”</w:t>
      </w:r>
      <w:r w:rsidR="00D5139A">
        <w:rPr>
          <w:rFonts w:ascii="Times New Roman" w:eastAsia="Times New Roman" w:hAnsi="Times New Roman" w:cs="Times New Roman"/>
          <w:sz w:val="24"/>
        </w:rPr>
        <w:t xml:space="preserve"> was less outwardly antagonistic (even as it did hold Jews to be in dire need of reformation). Still, these tracts were as much quasi</w:t>
      </w:r>
      <w:r w:rsidR="004078A7">
        <w:rPr>
          <w:rFonts w:ascii="Times New Roman" w:eastAsia="Times New Roman" w:hAnsi="Times New Roman" w:cs="Times New Roman"/>
          <w:sz w:val="24"/>
        </w:rPr>
        <w:t xml:space="preserve">-sympathetic portrayals of contemporary Jews as denunciations of the activities from which they had to be </w:t>
      </w:r>
      <w:r w:rsidR="009A1741">
        <w:rPr>
          <w:rFonts w:ascii="Times New Roman" w:eastAsia="Times New Roman" w:hAnsi="Times New Roman" w:cs="Times New Roman"/>
          <w:sz w:val="24"/>
        </w:rPr>
        <w:t>“</w:t>
      </w:r>
      <w:r w:rsidR="004078A7">
        <w:rPr>
          <w:rFonts w:ascii="Times New Roman" w:eastAsia="Times New Roman" w:hAnsi="Times New Roman" w:cs="Times New Roman"/>
          <w:sz w:val="24"/>
        </w:rPr>
        <w:t>regenerated</w:t>
      </w:r>
      <w:r w:rsidR="009A1741">
        <w:rPr>
          <w:rFonts w:ascii="Times New Roman" w:eastAsia="Times New Roman" w:hAnsi="Times New Roman" w:cs="Times New Roman"/>
          <w:sz w:val="24"/>
        </w:rPr>
        <w:t>”</w:t>
      </w:r>
      <w:r w:rsidR="004078A7">
        <w:rPr>
          <w:rFonts w:ascii="Times New Roman" w:eastAsia="Times New Roman" w:hAnsi="Times New Roman" w:cs="Times New Roman"/>
          <w:sz w:val="24"/>
        </w:rPr>
        <w:t xml:space="preserve">: invariably, the </w:t>
      </w:r>
      <w:r w:rsidR="009A1741">
        <w:rPr>
          <w:rFonts w:ascii="Times New Roman" w:eastAsia="Times New Roman" w:hAnsi="Times New Roman" w:cs="Times New Roman"/>
          <w:sz w:val="24"/>
        </w:rPr>
        <w:t>“</w:t>
      </w:r>
      <w:r w:rsidR="004078A7">
        <w:rPr>
          <w:rFonts w:ascii="Times New Roman" w:eastAsia="Times New Roman" w:hAnsi="Times New Roman" w:cs="Times New Roman"/>
          <w:sz w:val="24"/>
        </w:rPr>
        <w:t>horrible plague of commerce and finance</w:t>
      </w:r>
      <w:r w:rsidR="009A1741">
        <w:rPr>
          <w:rFonts w:ascii="Times New Roman" w:eastAsia="Times New Roman" w:hAnsi="Times New Roman" w:cs="Times New Roman"/>
          <w:sz w:val="24"/>
        </w:rPr>
        <w:t>,”</w:t>
      </w:r>
      <w:r w:rsidR="004078A7">
        <w:rPr>
          <w:rFonts w:ascii="Times New Roman" w:eastAsia="Times New Roman" w:hAnsi="Times New Roman" w:cs="Times New Roman"/>
          <w:sz w:val="24"/>
        </w:rPr>
        <w:t xml:space="preserve"> as the comte de Mirabeau put it in his own 1787 work on the </w:t>
      </w:r>
      <w:r w:rsidR="00435538">
        <w:rPr>
          <w:rFonts w:ascii="Times New Roman" w:eastAsia="Times New Roman" w:hAnsi="Times New Roman" w:cs="Times New Roman"/>
          <w:sz w:val="24"/>
        </w:rPr>
        <w:t>subject</w:t>
      </w:r>
      <w:r w:rsidR="004078A7">
        <w:rPr>
          <w:rFonts w:ascii="Times New Roman" w:eastAsia="Times New Roman" w:hAnsi="Times New Roman" w:cs="Times New Roman"/>
          <w:sz w:val="24"/>
        </w:rPr>
        <w:t>.</w:t>
      </w:r>
      <w:r w:rsidR="004078A7">
        <w:rPr>
          <w:rStyle w:val="FootnoteReference"/>
          <w:rFonts w:ascii="Times New Roman" w:eastAsia="Times New Roman" w:hAnsi="Times New Roman" w:cs="Times New Roman"/>
          <w:sz w:val="24"/>
        </w:rPr>
        <w:footnoteReference w:id="42"/>
      </w:r>
      <w:r w:rsidR="00D43671">
        <w:rPr>
          <w:rFonts w:ascii="Times New Roman" w:eastAsia="Times New Roman" w:hAnsi="Times New Roman" w:cs="Times New Roman"/>
          <w:sz w:val="24"/>
        </w:rPr>
        <w:t xml:space="preserve"> </w:t>
      </w:r>
      <w:r w:rsidR="00C96C62">
        <w:rPr>
          <w:rFonts w:ascii="Times New Roman" w:eastAsia="Times New Roman" w:hAnsi="Times New Roman" w:cs="Times New Roman"/>
          <w:sz w:val="24"/>
        </w:rPr>
        <w:t>In a</w:t>
      </w:r>
      <w:r w:rsidR="00435538">
        <w:rPr>
          <w:rFonts w:ascii="Times New Roman" w:eastAsia="Times New Roman" w:hAnsi="Times New Roman" w:cs="Times New Roman"/>
          <w:sz w:val="24"/>
        </w:rPr>
        <w:t xml:space="preserve">nother celebrated essay on regeneration </w:t>
      </w:r>
      <w:r w:rsidR="00D062C3">
        <w:rPr>
          <w:rFonts w:ascii="Times New Roman" w:eastAsia="Times New Roman" w:hAnsi="Times New Roman" w:cs="Times New Roman"/>
          <w:sz w:val="24"/>
        </w:rPr>
        <w:t>from the same ye</w:t>
      </w:r>
      <w:r w:rsidR="00C96C62">
        <w:rPr>
          <w:rFonts w:ascii="Times New Roman" w:eastAsia="Times New Roman" w:hAnsi="Times New Roman" w:cs="Times New Roman"/>
          <w:sz w:val="24"/>
        </w:rPr>
        <w:t>ar, by the abbé Henri Grégoire, a sprinkling of philo</w:t>
      </w:r>
      <w:r w:rsidR="007E05F0">
        <w:rPr>
          <w:rFonts w:ascii="Times New Roman" w:eastAsia="Times New Roman" w:hAnsi="Times New Roman" w:cs="Times New Roman"/>
          <w:sz w:val="24"/>
        </w:rPr>
        <w:t>-S</w:t>
      </w:r>
      <w:r w:rsidR="00C96C62">
        <w:rPr>
          <w:rFonts w:ascii="Times New Roman" w:eastAsia="Times New Roman" w:hAnsi="Times New Roman" w:cs="Times New Roman"/>
          <w:sz w:val="24"/>
        </w:rPr>
        <w:t xml:space="preserve">emitic comments </w:t>
      </w:r>
      <w:r w:rsidR="00846C0D">
        <w:rPr>
          <w:rFonts w:ascii="Times New Roman" w:eastAsia="Times New Roman" w:hAnsi="Times New Roman" w:cs="Times New Roman"/>
          <w:sz w:val="24"/>
        </w:rPr>
        <w:t xml:space="preserve">stood </w:t>
      </w:r>
      <w:r w:rsidR="00C96C62">
        <w:rPr>
          <w:rFonts w:ascii="Times New Roman" w:eastAsia="Times New Roman" w:hAnsi="Times New Roman" w:cs="Times New Roman"/>
          <w:sz w:val="24"/>
        </w:rPr>
        <w:t xml:space="preserve">alongside calls to </w:t>
      </w:r>
      <w:r w:rsidR="00D062C3">
        <w:rPr>
          <w:rFonts w:ascii="Times New Roman" w:eastAsia="Times New Roman" w:hAnsi="Times New Roman" w:cs="Times New Roman"/>
          <w:sz w:val="24"/>
        </w:rPr>
        <w:t xml:space="preserve">end </w:t>
      </w:r>
      <w:r w:rsidR="009A1741">
        <w:rPr>
          <w:rFonts w:ascii="Times New Roman" w:eastAsia="Times New Roman" w:hAnsi="Times New Roman" w:cs="Times New Roman"/>
          <w:sz w:val="24"/>
        </w:rPr>
        <w:t>“</w:t>
      </w:r>
      <w:r w:rsidR="00D062C3">
        <w:rPr>
          <w:rFonts w:ascii="Times New Roman" w:eastAsia="Times New Roman" w:hAnsi="Times New Roman" w:cs="Times New Roman"/>
          <w:sz w:val="24"/>
        </w:rPr>
        <w:t>judaic rapacity</w:t>
      </w:r>
      <w:r w:rsidR="009A1741">
        <w:rPr>
          <w:rFonts w:ascii="Times New Roman" w:eastAsia="Times New Roman" w:hAnsi="Times New Roman" w:cs="Times New Roman"/>
          <w:sz w:val="24"/>
        </w:rPr>
        <w:t>”</w:t>
      </w:r>
      <w:r w:rsidR="00D062C3">
        <w:rPr>
          <w:rFonts w:ascii="Times New Roman" w:eastAsia="Times New Roman" w:hAnsi="Times New Roman" w:cs="Times New Roman"/>
          <w:sz w:val="24"/>
        </w:rPr>
        <w:t xml:space="preserve"> by (among other steps) </w:t>
      </w:r>
      <w:r w:rsidR="009E2174">
        <w:rPr>
          <w:rFonts w:ascii="Times New Roman" w:eastAsia="Times New Roman" w:hAnsi="Times New Roman" w:cs="Times New Roman"/>
          <w:sz w:val="24"/>
        </w:rPr>
        <w:t>outlawing</w:t>
      </w:r>
      <w:r w:rsidR="00D062C3">
        <w:rPr>
          <w:rFonts w:ascii="Times New Roman" w:eastAsia="Times New Roman" w:hAnsi="Times New Roman" w:cs="Times New Roman"/>
          <w:sz w:val="24"/>
        </w:rPr>
        <w:t xml:space="preserve"> promissory notes, sales by Jews of goods on credit, </w:t>
      </w:r>
      <w:r w:rsidR="00180B42">
        <w:rPr>
          <w:rFonts w:ascii="Times New Roman" w:eastAsia="Times New Roman" w:hAnsi="Times New Roman" w:cs="Times New Roman"/>
          <w:sz w:val="24"/>
        </w:rPr>
        <w:t>loans by Jews to Christians, Jewish landlords of Christian tenants, and Jewish innkeepers.</w:t>
      </w:r>
      <w:r w:rsidR="00180B42">
        <w:rPr>
          <w:rStyle w:val="FootnoteReference"/>
          <w:rFonts w:ascii="Times New Roman" w:eastAsia="Times New Roman" w:hAnsi="Times New Roman" w:cs="Times New Roman"/>
          <w:sz w:val="24"/>
        </w:rPr>
        <w:footnoteReference w:id="43"/>
      </w:r>
    </w:p>
    <w:p w14:paraId="0133322B" w14:textId="328748CB" w:rsidR="001C5926" w:rsidRDefault="002652CD" w:rsidP="00411136">
      <w:pPr>
        <w:pStyle w:val="normal0"/>
        <w:spacing w:line="240" w:lineRule="auto"/>
        <w:contextualSpacing w:val="0"/>
        <w:rPr>
          <w:rFonts w:ascii="Times New Roman" w:eastAsia="Times New Roman" w:hAnsi="Times New Roman" w:cs="Times New Roman"/>
          <w:sz w:val="24"/>
        </w:rPr>
      </w:pPr>
      <w:r>
        <w:rPr>
          <w:rFonts w:ascii="Times New Roman" w:eastAsia="Times New Roman" w:hAnsi="Times New Roman" w:cs="Times New Roman"/>
          <w:sz w:val="24"/>
        </w:rPr>
        <w:tab/>
      </w:r>
      <w:r w:rsidR="00511D80">
        <w:rPr>
          <w:rFonts w:ascii="Times New Roman" w:eastAsia="Times New Roman" w:hAnsi="Times New Roman" w:cs="Times New Roman"/>
          <w:sz w:val="24"/>
        </w:rPr>
        <w:t xml:space="preserve">Less commonly, </w:t>
      </w:r>
      <w:r>
        <w:rPr>
          <w:rFonts w:ascii="Times New Roman" w:eastAsia="Times New Roman" w:hAnsi="Times New Roman" w:cs="Times New Roman"/>
          <w:sz w:val="24"/>
        </w:rPr>
        <w:t xml:space="preserve">Jews and </w:t>
      </w:r>
      <w:r w:rsidR="00FB231C">
        <w:rPr>
          <w:rFonts w:ascii="Times New Roman" w:eastAsia="Times New Roman" w:hAnsi="Times New Roman" w:cs="Times New Roman"/>
          <w:sz w:val="24"/>
        </w:rPr>
        <w:t>trade</w:t>
      </w:r>
      <w:r>
        <w:rPr>
          <w:rFonts w:ascii="Times New Roman" w:eastAsia="Times New Roman" w:hAnsi="Times New Roman" w:cs="Times New Roman"/>
          <w:sz w:val="24"/>
        </w:rPr>
        <w:t xml:space="preserve"> </w:t>
      </w:r>
      <w:r w:rsidR="000970FA">
        <w:rPr>
          <w:rFonts w:ascii="Times New Roman" w:eastAsia="Times New Roman" w:hAnsi="Times New Roman" w:cs="Times New Roman"/>
          <w:sz w:val="24"/>
        </w:rPr>
        <w:t>occasionally</w:t>
      </w:r>
      <w:r>
        <w:rPr>
          <w:rFonts w:ascii="Times New Roman" w:eastAsia="Times New Roman" w:hAnsi="Times New Roman" w:cs="Times New Roman"/>
          <w:sz w:val="24"/>
        </w:rPr>
        <w:t xml:space="preserve"> appeared together in </w:t>
      </w:r>
      <w:r w:rsidR="00AF2299">
        <w:rPr>
          <w:rFonts w:ascii="Times New Roman" w:eastAsia="Times New Roman" w:hAnsi="Times New Roman" w:cs="Times New Roman"/>
          <w:sz w:val="24"/>
        </w:rPr>
        <w:t xml:space="preserve">the opposite </w:t>
      </w:r>
      <w:r>
        <w:rPr>
          <w:rFonts w:ascii="Times New Roman" w:eastAsia="Times New Roman" w:hAnsi="Times New Roman" w:cs="Times New Roman"/>
          <w:sz w:val="24"/>
        </w:rPr>
        <w:t>valence</w:t>
      </w:r>
      <w:r w:rsidR="00AF2299">
        <w:rPr>
          <w:rFonts w:ascii="Times New Roman" w:eastAsia="Times New Roman" w:hAnsi="Times New Roman" w:cs="Times New Roman"/>
          <w:sz w:val="24"/>
        </w:rPr>
        <w:t>; o</w:t>
      </w:r>
      <w:r>
        <w:rPr>
          <w:rFonts w:ascii="Times New Roman" w:eastAsia="Times New Roman" w:hAnsi="Times New Roman" w:cs="Times New Roman"/>
          <w:sz w:val="24"/>
        </w:rPr>
        <w:t>ne of its important ex</w:t>
      </w:r>
      <w:r w:rsidR="00F13AB4">
        <w:rPr>
          <w:rFonts w:ascii="Times New Roman" w:eastAsia="Times New Roman" w:hAnsi="Times New Roman" w:cs="Times New Roman"/>
          <w:sz w:val="24"/>
        </w:rPr>
        <w:t>ponents was Louis de Jaucourt, the most</w:t>
      </w:r>
      <w:r>
        <w:rPr>
          <w:rFonts w:ascii="Times New Roman" w:eastAsia="Times New Roman" w:hAnsi="Times New Roman" w:cs="Times New Roman"/>
          <w:sz w:val="24"/>
        </w:rPr>
        <w:t xml:space="preserve"> prolific contributor to the </w:t>
      </w:r>
      <w:r>
        <w:rPr>
          <w:rFonts w:ascii="Times New Roman" w:eastAsia="Times New Roman" w:hAnsi="Times New Roman" w:cs="Times New Roman"/>
          <w:i/>
          <w:sz w:val="24"/>
        </w:rPr>
        <w:t>Encylopédie</w:t>
      </w:r>
      <w:r>
        <w:rPr>
          <w:rFonts w:ascii="Times New Roman" w:eastAsia="Times New Roman" w:hAnsi="Times New Roman" w:cs="Times New Roman"/>
          <w:sz w:val="24"/>
        </w:rPr>
        <w:t xml:space="preserve">. </w:t>
      </w:r>
      <w:r w:rsidR="00FB231C">
        <w:rPr>
          <w:rFonts w:ascii="Times New Roman" w:eastAsia="Times New Roman" w:hAnsi="Times New Roman" w:cs="Times New Roman"/>
          <w:sz w:val="24"/>
        </w:rPr>
        <w:t xml:space="preserve">In his entry </w:t>
      </w:r>
      <w:r w:rsidR="009A1741">
        <w:rPr>
          <w:rFonts w:ascii="Times New Roman" w:eastAsia="Times New Roman" w:hAnsi="Times New Roman" w:cs="Times New Roman"/>
          <w:sz w:val="24"/>
        </w:rPr>
        <w:t>“</w:t>
      </w:r>
      <w:r w:rsidR="00FB231C" w:rsidRPr="00FB231C">
        <w:rPr>
          <w:rFonts w:ascii="Times New Roman" w:eastAsia="Times New Roman" w:hAnsi="Times New Roman" w:cs="Times New Roman"/>
          <w:i/>
          <w:sz w:val="24"/>
        </w:rPr>
        <w:t>Juif</w:t>
      </w:r>
      <w:r w:rsidR="009A1741">
        <w:rPr>
          <w:rFonts w:ascii="Times New Roman" w:eastAsia="Times New Roman" w:hAnsi="Times New Roman" w:cs="Times New Roman"/>
          <w:i/>
          <w:sz w:val="24"/>
        </w:rPr>
        <w:t>,”</w:t>
      </w:r>
      <w:r w:rsidR="00FB231C">
        <w:rPr>
          <w:rFonts w:ascii="Times New Roman" w:eastAsia="Times New Roman" w:hAnsi="Times New Roman" w:cs="Times New Roman"/>
          <w:sz w:val="24"/>
        </w:rPr>
        <w:t xml:space="preserve"> he favorably characterized Jews as essential to </w:t>
      </w:r>
      <w:r w:rsidR="00EC758C">
        <w:rPr>
          <w:rFonts w:ascii="Times New Roman" w:eastAsia="Times New Roman" w:hAnsi="Times New Roman" w:cs="Times New Roman"/>
          <w:sz w:val="24"/>
        </w:rPr>
        <w:t>economic growth</w:t>
      </w:r>
      <w:r w:rsidR="00FB231C">
        <w:rPr>
          <w:rFonts w:ascii="Times New Roman" w:eastAsia="Times New Roman" w:hAnsi="Times New Roman" w:cs="Times New Roman"/>
          <w:sz w:val="24"/>
        </w:rPr>
        <w:t xml:space="preserve">: </w:t>
      </w:r>
      <w:r w:rsidR="00F91C81">
        <w:rPr>
          <w:rFonts w:ascii="Times New Roman" w:eastAsia="Times New Roman" w:hAnsi="Times New Roman" w:cs="Times New Roman"/>
          <w:sz w:val="24"/>
        </w:rPr>
        <w:t>they</w:t>
      </w:r>
      <w:r w:rsidR="00FB231C">
        <w:rPr>
          <w:rFonts w:ascii="Times New Roman" w:eastAsia="Times New Roman" w:hAnsi="Times New Roman" w:cs="Times New Roman"/>
          <w:sz w:val="24"/>
        </w:rPr>
        <w:t xml:space="preserve"> </w:t>
      </w:r>
      <w:r w:rsidR="009A1741">
        <w:rPr>
          <w:rFonts w:ascii="Times New Roman" w:eastAsia="Times New Roman" w:hAnsi="Times New Roman" w:cs="Times New Roman"/>
          <w:sz w:val="24"/>
        </w:rPr>
        <w:t>“</w:t>
      </w:r>
      <w:r w:rsidR="004D3EAE">
        <w:rPr>
          <w:rFonts w:ascii="Times New Roman" w:eastAsia="Times New Roman" w:hAnsi="Times New Roman" w:cs="Times New Roman"/>
          <w:sz w:val="24"/>
        </w:rPr>
        <w:t xml:space="preserve">have become the instruments by means of which the </w:t>
      </w:r>
      <w:r w:rsidR="004D3EAE">
        <w:rPr>
          <w:rFonts w:ascii="Times New Roman" w:eastAsia="Times New Roman" w:hAnsi="Times New Roman" w:cs="Times New Roman"/>
          <w:sz w:val="24"/>
        </w:rPr>
        <w:lastRenderedPageBreak/>
        <w:t>most distant nations can speak and communicate as one. It is due to them, as it is with the pegs and nails that are used in [the construction</w:t>
      </w:r>
      <w:r w:rsidR="00A178B2">
        <w:rPr>
          <w:rFonts w:ascii="Times New Roman" w:eastAsia="Times New Roman" w:hAnsi="Times New Roman" w:cs="Times New Roman"/>
          <w:sz w:val="24"/>
        </w:rPr>
        <w:t xml:space="preserve"> of</w:t>
      </w:r>
      <w:r w:rsidR="004D3EAE">
        <w:rPr>
          <w:rFonts w:ascii="Times New Roman" w:eastAsia="Times New Roman" w:hAnsi="Times New Roman" w:cs="Times New Roman"/>
          <w:sz w:val="24"/>
        </w:rPr>
        <w:t>] a great building, which are needed to keep all of its parts together, that all of the parts of commerce are linked</w:t>
      </w:r>
      <w:r w:rsidR="009A1741">
        <w:rPr>
          <w:rFonts w:ascii="Times New Roman" w:eastAsia="Times New Roman" w:hAnsi="Times New Roman" w:cs="Times New Roman"/>
          <w:sz w:val="24"/>
        </w:rPr>
        <w:t>.”</w:t>
      </w:r>
      <w:r w:rsidR="004D3EAE">
        <w:rPr>
          <w:rFonts w:ascii="Times New Roman" w:eastAsia="Times New Roman" w:hAnsi="Times New Roman" w:cs="Times New Roman"/>
          <w:sz w:val="24"/>
          <w:vertAlign w:val="superscript"/>
        </w:rPr>
        <w:footnoteReference w:id="44"/>
      </w:r>
      <w:r w:rsidR="00FB231C">
        <w:rPr>
          <w:rFonts w:ascii="Times New Roman" w:eastAsia="Times New Roman" w:hAnsi="Times New Roman" w:cs="Times New Roman"/>
          <w:sz w:val="24"/>
        </w:rPr>
        <w:t xml:space="preserve"> </w:t>
      </w:r>
      <w:r w:rsidR="00BA064E">
        <w:rPr>
          <w:rFonts w:ascii="Times New Roman" w:eastAsia="Times New Roman" w:hAnsi="Times New Roman" w:cs="Times New Roman"/>
          <w:sz w:val="24"/>
        </w:rPr>
        <w:t>Though his treatment of Jews was not uniformly rosy—elsewhere, he criticized them sharply for their adherence to their rabbis and religious law—J</w:t>
      </w:r>
      <w:r w:rsidR="007E05F0">
        <w:rPr>
          <w:rFonts w:ascii="Times New Roman" w:eastAsia="Times New Roman" w:hAnsi="Times New Roman" w:cs="Times New Roman"/>
          <w:sz w:val="24"/>
        </w:rPr>
        <w:t>aucourt</w:t>
      </w:r>
      <w:r w:rsidR="005817AC">
        <w:rPr>
          <w:rFonts w:ascii="Times New Roman" w:eastAsia="Times New Roman" w:hAnsi="Times New Roman" w:cs="Times New Roman"/>
          <w:sz w:val="24"/>
        </w:rPr>
        <w:t>’</w:t>
      </w:r>
      <w:r w:rsidR="007E05F0">
        <w:rPr>
          <w:rFonts w:ascii="Times New Roman" w:eastAsia="Times New Roman" w:hAnsi="Times New Roman" w:cs="Times New Roman"/>
          <w:sz w:val="24"/>
        </w:rPr>
        <w:t>s strand of philo-S</w:t>
      </w:r>
      <w:r w:rsidR="00D05E3E">
        <w:rPr>
          <w:rFonts w:ascii="Times New Roman" w:eastAsia="Times New Roman" w:hAnsi="Times New Roman" w:cs="Times New Roman"/>
          <w:sz w:val="24"/>
        </w:rPr>
        <w:t>emitism</w:t>
      </w:r>
      <w:r w:rsidR="00BA064E">
        <w:rPr>
          <w:rFonts w:ascii="Times New Roman" w:eastAsia="Times New Roman" w:hAnsi="Times New Roman" w:cs="Times New Roman"/>
          <w:sz w:val="24"/>
        </w:rPr>
        <w:t xml:space="preserve"> did </w:t>
      </w:r>
      <w:r w:rsidR="00511D80">
        <w:rPr>
          <w:rFonts w:ascii="Times New Roman" w:eastAsia="Times New Roman" w:hAnsi="Times New Roman" w:cs="Times New Roman"/>
          <w:sz w:val="24"/>
        </w:rPr>
        <w:t>attract at least one imitator</w:t>
      </w:r>
      <w:r w:rsidR="00BA064E">
        <w:rPr>
          <w:rFonts w:ascii="Times New Roman" w:eastAsia="Times New Roman" w:hAnsi="Times New Roman" w:cs="Times New Roman"/>
          <w:sz w:val="24"/>
        </w:rPr>
        <w:t xml:space="preserve">. </w:t>
      </w:r>
      <w:r w:rsidR="00A30AA1">
        <w:rPr>
          <w:rFonts w:ascii="Times New Roman" w:eastAsia="Times New Roman" w:hAnsi="Times New Roman" w:cs="Times New Roman"/>
          <w:sz w:val="24"/>
        </w:rPr>
        <w:t xml:space="preserve">In a 1767 controversy over the </w:t>
      </w:r>
      <w:r w:rsidR="00B0611B">
        <w:rPr>
          <w:rFonts w:ascii="Times New Roman" w:eastAsia="Times New Roman" w:hAnsi="Times New Roman" w:cs="Times New Roman"/>
          <w:sz w:val="24"/>
        </w:rPr>
        <w:t xml:space="preserve">exclusion of Jewish merchants </w:t>
      </w:r>
      <w:r w:rsidR="00A64FD0">
        <w:rPr>
          <w:rFonts w:ascii="Times New Roman" w:eastAsia="Times New Roman" w:hAnsi="Times New Roman" w:cs="Times New Roman"/>
          <w:sz w:val="24"/>
        </w:rPr>
        <w:t>from trade in Paris, a pseudonymous Jewish leader published a pamphlet that cited Jaucourt</w:t>
      </w:r>
      <w:r w:rsidR="005817AC">
        <w:rPr>
          <w:rFonts w:ascii="Times New Roman" w:eastAsia="Times New Roman" w:hAnsi="Times New Roman" w:cs="Times New Roman"/>
          <w:sz w:val="24"/>
        </w:rPr>
        <w:t>’</w:t>
      </w:r>
      <w:r w:rsidR="006C1D6F">
        <w:rPr>
          <w:rFonts w:ascii="Times New Roman" w:eastAsia="Times New Roman" w:hAnsi="Times New Roman" w:cs="Times New Roman"/>
          <w:sz w:val="24"/>
        </w:rPr>
        <w:t xml:space="preserve">s passage on </w:t>
      </w:r>
      <w:r w:rsidR="009A1741">
        <w:rPr>
          <w:rFonts w:ascii="Times New Roman" w:eastAsia="Times New Roman" w:hAnsi="Times New Roman" w:cs="Times New Roman"/>
          <w:sz w:val="24"/>
        </w:rPr>
        <w:t>“</w:t>
      </w:r>
      <w:r w:rsidR="006C1D6F">
        <w:rPr>
          <w:rFonts w:ascii="Times New Roman" w:eastAsia="Times New Roman" w:hAnsi="Times New Roman" w:cs="Times New Roman"/>
          <w:sz w:val="24"/>
        </w:rPr>
        <w:t>pegs and nails</w:t>
      </w:r>
      <w:r w:rsidR="009A1741">
        <w:rPr>
          <w:rFonts w:ascii="Times New Roman" w:eastAsia="Times New Roman" w:hAnsi="Times New Roman" w:cs="Times New Roman"/>
          <w:sz w:val="24"/>
        </w:rPr>
        <w:t>”</w:t>
      </w:r>
      <w:r w:rsidR="006C1D6F">
        <w:rPr>
          <w:rFonts w:ascii="Times New Roman" w:eastAsia="Times New Roman" w:hAnsi="Times New Roman" w:cs="Times New Roman"/>
          <w:sz w:val="24"/>
        </w:rPr>
        <w:t xml:space="preserve"> </w:t>
      </w:r>
      <w:r w:rsidR="00A64FD0">
        <w:rPr>
          <w:rFonts w:ascii="Times New Roman" w:eastAsia="Times New Roman" w:hAnsi="Times New Roman" w:cs="Times New Roman"/>
          <w:sz w:val="24"/>
        </w:rPr>
        <w:t xml:space="preserve">and defended the Jewish people in that light as the one which best </w:t>
      </w:r>
      <w:r w:rsidR="009A1741">
        <w:rPr>
          <w:rFonts w:ascii="Times New Roman" w:eastAsia="Times New Roman" w:hAnsi="Times New Roman" w:cs="Times New Roman"/>
          <w:sz w:val="24"/>
        </w:rPr>
        <w:t>“</w:t>
      </w:r>
      <w:r w:rsidR="00A64FD0">
        <w:rPr>
          <w:rFonts w:ascii="Times New Roman" w:eastAsia="Times New Roman" w:hAnsi="Times New Roman" w:cs="Times New Roman"/>
          <w:sz w:val="24"/>
        </w:rPr>
        <w:t>unite[s] the knowledge and the means</w:t>
      </w:r>
      <w:r w:rsidR="009A1741">
        <w:rPr>
          <w:rFonts w:ascii="Times New Roman" w:eastAsia="Times New Roman" w:hAnsi="Times New Roman" w:cs="Times New Roman"/>
          <w:sz w:val="24"/>
        </w:rPr>
        <w:t>”</w:t>
      </w:r>
      <w:r w:rsidR="00A64FD0">
        <w:rPr>
          <w:rFonts w:ascii="Times New Roman" w:eastAsia="Times New Roman" w:hAnsi="Times New Roman" w:cs="Times New Roman"/>
          <w:sz w:val="24"/>
        </w:rPr>
        <w:t xml:space="preserve"> to expand France</w:t>
      </w:r>
      <w:r w:rsidR="005817AC">
        <w:rPr>
          <w:rFonts w:ascii="Times New Roman" w:eastAsia="Times New Roman" w:hAnsi="Times New Roman" w:cs="Times New Roman"/>
          <w:sz w:val="24"/>
        </w:rPr>
        <w:t>’</w:t>
      </w:r>
      <w:r w:rsidR="00A64FD0">
        <w:rPr>
          <w:rFonts w:ascii="Times New Roman" w:eastAsia="Times New Roman" w:hAnsi="Times New Roman" w:cs="Times New Roman"/>
          <w:sz w:val="24"/>
        </w:rPr>
        <w:t>s trade.</w:t>
      </w:r>
      <w:r w:rsidR="00A64FD0">
        <w:rPr>
          <w:rStyle w:val="FootnoteReference"/>
          <w:rFonts w:ascii="Times New Roman" w:eastAsia="Times New Roman" w:hAnsi="Times New Roman" w:cs="Times New Roman"/>
          <w:sz w:val="24"/>
        </w:rPr>
        <w:footnoteReference w:id="45"/>
      </w:r>
    </w:p>
    <w:p w14:paraId="54BEB6D2" w14:textId="6B1B50C3" w:rsidR="001C5926" w:rsidRDefault="005F3E7F" w:rsidP="00411136">
      <w:pPr>
        <w:pStyle w:val="normal0"/>
        <w:spacing w:line="240" w:lineRule="auto"/>
        <w:contextualSpacing w:val="0"/>
        <w:rPr>
          <w:rFonts w:ascii="Times New Roman" w:eastAsia="Times New Roman" w:hAnsi="Times New Roman" w:cs="Times New Roman"/>
          <w:sz w:val="24"/>
        </w:rPr>
      </w:pPr>
      <w:r>
        <w:rPr>
          <w:rFonts w:ascii="Times New Roman" w:eastAsia="Times New Roman" w:hAnsi="Times New Roman" w:cs="Times New Roman"/>
          <w:sz w:val="24"/>
        </w:rPr>
        <w:tab/>
        <w:t xml:space="preserve">Of course, as we will see below, </w:t>
      </w:r>
      <w:r w:rsidR="001A0096">
        <w:rPr>
          <w:rFonts w:ascii="Times New Roman" w:eastAsia="Times New Roman" w:hAnsi="Times New Roman" w:cs="Times New Roman"/>
          <w:sz w:val="24"/>
        </w:rPr>
        <w:t xml:space="preserve">it was hardly the case that all arguments over </w:t>
      </w:r>
      <w:r w:rsidR="001A0096" w:rsidRPr="006C40B7">
        <w:rPr>
          <w:rFonts w:ascii="Times New Roman" w:eastAsia="Times New Roman" w:hAnsi="Times New Roman" w:cs="Times New Roman"/>
          <w:i/>
          <w:sz w:val="24"/>
        </w:rPr>
        <w:t>les progr</w:t>
      </w:r>
      <w:r w:rsidR="001A0096" w:rsidRPr="006C40B7">
        <w:rPr>
          <w:rFonts w:ascii="Times New Roman" w:hAnsi="Times New Roman" w:cs="Times New Roman"/>
          <w:i/>
          <w:sz w:val="24"/>
        </w:rPr>
        <w:t>è</w:t>
      </w:r>
      <w:r w:rsidR="001A0096">
        <w:rPr>
          <w:rFonts w:ascii="Times New Roman" w:hAnsi="Times New Roman" w:cs="Times New Roman"/>
          <w:i/>
          <w:sz w:val="24"/>
        </w:rPr>
        <w:t xml:space="preserve">s du commerce </w:t>
      </w:r>
      <w:r w:rsidR="001A0096">
        <w:rPr>
          <w:rFonts w:ascii="Times New Roman" w:hAnsi="Times New Roman" w:cs="Times New Roman"/>
          <w:sz w:val="24"/>
        </w:rPr>
        <w:t>invoked the commercial Jew. My claim here is simply that both positions I have considered</w:t>
      </w:r>
      <w:r w:rsidR="00C12F0B">
        <w:rPr>
          <w:rFonts w:ascii="Times New Roman" w:eastAsia="Times New Roman" w:hAnsi="Times New Roman" w:cs="Times New Roman"/>
          <w:sz w:val="24"/>
        </w:rPr>
        <w:t>—as exemplified by, say, Ramazzini and Jaucourt—m</w:t>
      </w:r>
      <w:r w:rsidR="001A0096">
        <w:rPr>
          <w:rFonts w:ascii="Times New Roman" w:eastAsia="Times New Roman" w:hAnsi="Times New Roman" w:cs="Times New Roman"/>
          <w:sz w:val="24"/>
        </w:rPr>
        <w:t>ake a kind of intuitive sense. A</w:t>
      </w:r>
      <w:r w:rsidR="00C12F0B">
        <w:rPr>
          <w:rFonts w:ascii="Times New Roman" w:eastAsia="Times New Roman" w:hAnsi="Times New Roman" w:cs="Times New Roman"/>
          <w:sz w:val="24"/>
        </w:rPr>
        <w:t xml:space="preserve">s Jerry Z. Muller puts it, </w:t>
      </w:r>
      <w:r w:rsidR="009A1741">
        <w:rPr>
          <w:rFonts w:ascii="Times New Roman" w:eastAsia="Times New Roman" w:hAnsi="Times New Roman" w:cs="Times New Roman"/>
          <w:sz w:val="24"/>
        </w:rPr>
        <w:t>“</w:t>
      </w:r>
      <w:r w:rsidR="00C12F0B">
        <w:rPr>
          <w:rFonts w:ascii="Times New Roman" w:eastAsia="Times New Roman" w:hAnsi="Times New Roman" w:cs="Times New Roman"/>
          <w:sz w:val="24"/>
        </w:rPr>
        <w:t>condemnation of commerce was often linked to anti-Semitism...[and] there has often been a link between philo-capitalism and philo-Semitism</w:t>
      </w:r>
      <w:r w:rsidR="009A1741">
        <w:rPr>
          <w:rFonts w:ascii="Times New Roman" w:eastAsia="Times New Roman" w:hAnsi="Times New Roman" w:cs="Times New Roman"/>
          <w:sz w:val="24"/>
        </w:rPr>
        <w:t>.”</w:t>
      </w:r>
      <w:r w:rsidR="00C12F0B">
        <w:rPr>
          <w:rFonts w:ascii="Times New Roman" w:eastAsia="Times New Roman" w:hAnsi="Times New Roman" w:cs="Times New Roman"/>
          <w:sz w:val="24"/>
          <w:vertAlign w:val="superscript"/>
        </w:rPr>
        <w:footnoteReference w:id="46"/>
      </w:r>
      <w:r w:rsidR="00C12F0B">
        <w:rPr>
          <w:rFonts w:ascii="Times New Roman" w:eastAsia="Times New Roman" w:hAnsi="Times New Roman" w:cs="Times New Roman"/>
          <w:sz w:val="24"/>
        </w:rPr>
        <w:t xml:space="preserve"> </w:t>
      </w:r>
      <w:r w:rsidR="006E2AC0">
        <w:rPr>
          <w:rFonts w:ascii="Times New Roman" w:eastAsia="Times New Roman" w:hAnsi="Times New Roman" w:cs="Times New Roman"/>
          <w:sz w:val="24"/>
        </w:rPr>
        <w:t xml:space="preserve">Yet </w:t>
      </w:r>
      <w:r w:rsidR="009A1741">
        <w:rPr>
          <w:rFonts w:ascii="Times New Roman" w:eastAsia="Times New Roman" w:hAnsi="Times New Roman" w:cs="Times New Roman"/>
          <w:sz w:val="24"/>
        </w:rPr>
        <w:t>Voltaire’s</w:t>
      </w:r>
      <w:r w:rsidR="006E2AC0">
        <w:rPr>
          <w:rFonts w:ascii="Times New Roman" w:eastAsia="Times New Roman" w:hAnsi="Times New Roman" w:cs="Times New Roman"/>
          <w:sz w:val="24"/>
        </w:rPr>
        <w:t xml:space="preserve"> entry into the long</w:t>
      </w:r>
      <w:r w:rsidR="007E05F0">
        <w:rPr>
          <w:rFonts w:ascii="Times New Roman" w:eastAsia="Times New Roman" w:hAnsi="Times New Roman" w:cs="Times New Roman"/>
          <w:sz w:val="24"/>
        </w:rPr>
        <w:t>-</w:t>
      </w:r>
      <w:r w:rsidR="006E2AC0">
        <w:rPr>
          <w:rFonts w:ascii="Times New Roman" w:eastAsia="Times New Roman" w:hAnsi="Times New Roman" w:cs="Times New Roman"/>
          <w:sz w:val="24"/>
        </w:rPr>
        <w:t>running</w:t>
      </w:r>
      <w:r w:rsidR="00E4123C">
        <w:rPr>
          <w:rFonts w:ascii="Times New Roman" w:eastAsia="Times New Roman" w:hAnsi="Times New Roman" w:cs="Times New Roman"/>
          <w:sz w:val="24"/>
        </w:rPr>
        <w:t xml:space="preserve"> commercial</w:t>
      </w:r>
      <w:r w:rsidR="003E6AE3">
        <w:rPr>
          <w:rFonts w:ascii="Times New Roman" w:eastAsia="Times New Roman" w:hAnsi="Times New Roman" w:cs="Times New Roman"/>
          <w:sz w:val="24"/>
        </w:rPr>
        <w:t xml:space="preserve"> argument</w:t>
      </w:r>
      <w:r w:rsidR="006E2AC0">
        <w:rPr>
          <w:rFonts w:ascii="Times New Roman" w:eastAsia="Times New Roman" w:hAnsi="Times New Roman" w:cs="Times New Roman"/>
          <w:sz w:val="24"/>
        </w:rPr>
        <w:t xml:space="preserve"> marks a</w:t>
      </w:r>
      <w:r w:rsidR="001179AD">
        <w:rPr>
          <w:rFonts w:ascii="Times New Roman" w:eastAsia="Times New Roman" w:hAnsi="Times New Roman" w:cs="Times New Roman"/>
          <w:sz w:val="24"/>
        </w:rPr>
        <w:t xml:space="preserve"> curious exception to the rule. It was not simply that he was among the most vehement of the defenders of commerce; it was that he was </w:t>
      </w:r>
      <w:r w:rsidR="006E2AC0">
        <w:rPr>
          <w:rFonts w:ascii="Times New Roman" w:eastAsia="Times New Roman" w:hAnsi="Times New Roman" w:cs="Times New Roman"/>
          <w:sz w:val="24"/>
        </w:rPr>
        <w:t>equally ready to celebrate commerce and pile scorn on the Jews. And while he borrowed from an existing vocabulary of anti-Semitic invective, he deployed it to a more original end.</w:t>
      </w:r>
      <w:r w:rsidR="001A0096">
        <w:rPr>
          <w:rStyle w:val="FootnoteReference"/>
          <w:rFonts w:ascii="Times New Roman" w:eastAsia="Times New Roman" w:hAnsi="Times New Roman" w:cs="Times New Roman"/>
          <w:sz w:val="24"/>
        </w:rPr>
        <w:footnoteReference w:id="47"/>
      </w:r>
    </w:p>
    <w:p w14:paraId="2BD5E6FB" w14:textId="31A52600" w:rsidR="002F566E" w:rsidRDefault="004D3EAE" w:rsidP="00411136">
      <w:pPr>
        <w:pStyle w:val="normal0"/>
        <w:spacing w:line="240" w:lineRule="auto"/>
        <w:ind w:firstLine="720"/>
        <w:contextualSpacing w:val="0"/>
      </w:pPr>
      <w:r>
        <w:rPr>
          <w:rFonts w:ascii="Times New Roman" w:eastAsia="Times New Roman" w:hAnsi="Times New Roman" w:cs="Times New Roman"/>
          <w:sz w:val="24"/>
        </w:rPr>
        <w:t xml:space="preserve">The </w:t>
      </w:r>
      <w:r w:rsidR="006E2AC0">
        <w:rPr>
          <w:rFonts w:ascii="Times New Roman" w:eastAsia="Times New Roman" w:hAnsi="Times New Roman" w:cs="Times New Roman"/>
          <w:sz w:val="24"/>
        </w:rPr>
        <w:t>originality</w:t>
      </w:r>
      <w:r>
        <w:rPr>
          <w:rFonts w:ascii="Times New Roman" w:eastAsia="Times New Roman" w:hAnsi="Times New Roman" w:cs="Times New Roman"/>
          <w:sz w:val="24"/>
        </w:rPr>
        <w:t xml:space="preserve"> of </w:t>
      </w:r>
      <w:r w:rsidR="009A1741">
        <w:rPr>
          <w:rFonts w:ascii="Times New Roman" w:eastAsia="Times New Roman" w:hAnsi="Times New Roman" w:cs="Times New Roman"/>
          <w:sz w:val="24"/>
        </w:rPr>
        <w:t>Voltaire’s</w:t>
      </w:r>
      <w:r>
        <w:rPr>
          <w:rFonts w:ascii="Times New Roman" w:eastAsia="Times New Roman" w:hAnsi="Times New Roman" w:cs="Times New Roman"/>
          <w:sz w:val="24"/>
        </w:rPr>
        <w:t xml:space="preserve"> </w:t>
      </w:r>
      <w:r w:rsidR="006E2AC0">
        <w:rPr>
          <w:rFonts w:ascii="Times New Roman" w:eastAsia="Times New Roman" w:hAnsi="Times New Roman" w:cs="Times New Roman"/>
          <w:sz w:val="24"/>
        </w:rPr>
        <w:t xml:space="preserve">stance was, I argue, </w:t>
      </w:r>
      <w:r>
        <w:rPr>
          <w:rFonts w:ascii="Times New Roman" w:eastAsia="Times New Roman" w:hAnsi="Times New Roman" w:cs="Times New Roman"/>
          <w:sz w:val="24"/>
        </w:rPr>
        <w:t xml:space="preserve">driven by his typically unyielding need to celebrate commerce in the most unequivocal manner possible. A suggestion of this uncompromising position comes in his satirical poem, </w:t>
      </w:r>
      <w:r w:rsidR="009A1741">
        <w:rPr>
          <w:rFonts w:ascii="Times New Roman" w:eastAsia="Times New Roman" w:hAnsi="Times New Roman" w:cs="Times New Roman"/>
          <w:sz w:val="24"/>
        </w:rPr>
        <w:t>“</w:t>
      </w:r>
      <w:r>
        <w:rPr>
          <w:rFonts w:ascii="Times New Roman" w:eastAsia="Times New Roman" w:hAnsi="Times New Roman" w:cs="Times New Roman"/>
          <w:sz w:val="24"/>
        </w:rPr>
        <w:t>The Man of the World</w:t>
      </w:r>
      <w:r w:rsidR="009A1741">
        <w:rPr>
          <w:rFonts w:ascii="Times New Roman" w:eastAsia="Times New Roman" w:hAnsi="Times New Roman" w:cs="Times New Roman"/>
          <w:sz w:val="24"/>
        </w:rPr>
        <w:t>,”</w:t>
      </w:r>
      <w:r>
        <w:rPr>
          <w:rFonts w:ascii="Times New Roman" w:eastAsia="Times New Roman" w:hAnsi="Times New Roman" w:cs="Times New Roman"/>
          <w:sz w:val="24"/>
        </w:rPr>
        <w:t xml:space="preserve"> in which Voltaire described himself silencing a sanctimonious dinner guest who rails against luxury while guzzling fine wine. At the end of </w:t>
      </w:r>
      <w:r w:rsidR="009A1741">
        <w:rPr>
          <w:rFonts w:ascii="Times New Roman" w:eastAsia="Times New Roman" w:hAnsi="Times New Roman" w:cs="Times New Roman"/>
          <w:sz w:val="24"/>
        </w:rPr>
        <w:t>Voltaire’s</w:t>
      </w:r>
      <w:r>
        <w:rPr>
          <w:rFonts w:ascii="Times New Roman" w:eastAsia="Times New Roman" w:hAnsi="Times New Roman" w:cs="Times New Roman"/>
          <w:sz w:val="24"/>
        </w:rPr>
        <w:t xml:space="preserve"> long speech in defense of luxury, </w:t>
      </w:r>
      <w:r w:rsidR="009A1741">
        <w:rPr>
          <w:rFonts w:ascii="Times New Roman" w:eastAsia="Times New Roman" w:hAnsi="Times New Roman" w:cs="Times New Roman"/>
          <w:sz w:val="24"/>
        </w:rPr>
        <w:t>“</w:t>
      </w:r>
      <w:r>
        <w:rPr>
          <w:rFonts w:ascii="Times New Roman" w:eastAsia="Times New Roman" w:hAnsi="Times New Roman" w:cs="Times New Roman"/>
          <w:sz w:val="24"/>
        </w:rPr>
        <w:t>Sir Piety no more replied, / But, laughing, still the bottle plied</w:t>
      </w:r>
      <w:r w:rsidR="009A1741">
        <w:rPr>
          <w:rFonts w:ascii="Times New Roman" w:eastAsia="Times New Roman" w:hAnsi="Times New Roman" w:cs="Times New Roman"/>
          <w:sz w:val="24"/>
        </w:rPr>
        <w:t>.”</w:t>
      </w:r>
      <w:r>
        <w:rPr>
          <w:rFonts w:ascii="Times New Roman" w:eastAsia="Times New Roman" w:hAnsi="Times New Roman" w:cs="Times New Roman"/>
          <w:sz w:val="24"/>
          <w:vertAlign w:val="superscript"/>
        </w:rPr>
        <w:footnoteReference w:id="48"/>
      </w:r>
      <w:r>
        <w:rPr>
          <w:rFonts w:ascii="Times New Roman" w:eastAsia="Times New Roman" w:hAnsi="Times New Roman" w:cs="Times New Roman"/>
          <w:sz w:val="24"/>
        </w:rPr>
        <w:t xml:space="preserve"> At </w:t>
      </w:r>
      <w:r>
        <w:rPr>
          <w:rFonts w:ascii="Times New Roman" w:eastAsia="Times New Roman" w:hAnsi="Times New Roman" w:cs="Times New Roman"/>
          <w:sz w:val="24"/>
        </w:rPr>
        <w:lastRenderedPageBreak/>
        <w:t>the risk of reading too much into light verse, we should note how Voltaire characterized the opposition to commerce: it was only possible from a standpoint of hypocrisy.</w:t>
      </w:r>
      <w:r w:rsidR="00D47CE7">
        <w:rPr>
          <w:rStyle w:val="FootnoteReference"/>
          <w:rFonts w:ascii="Times New Roman" w:eastAsia="Times New Roman" w:hAnsi="Times New Roman" w:cs="Times New Roman"/>
          <w:sz w:val="24"/>
        </w:rPr>
        <w:footnoteReference w:id="49"/>
      </w:r>
      <w:r>
        <w:rPr>
          <w:rFonts w:ascii="Times New Roman" w:eastAsia="Times New Roman" w:hAnsi="Times New Roman" w:cs="Times New Roman"/>
          <w:sz w:val="24"/>
        </w:rPr>
        <w:t xml:space="preserve"> Commerce itself admitted no legitimate objections. And from that assumption, it could follow that any seemingly serious attacks on </w:t>
      </w:r>
      <w:r w:rsidR="00846C0D">
        <w:rPr>
          <w:rFonts w:ascii="Times New Roman" w:eastAsia="Times New Roman" w:hAnsi="Times New Roman" w:cs="Times New Roman"/>
          <w:sz w:val="24"/>
        </w:rPr>
        <w:t>it</w:t>
      </w:r>
      <w:r>
        <w:rPr>
          <w:rFonts w:ascii="Times New Roman" w:eastAsia="Times New Roman" w:hAnsi="Times New Roman" w:cs="Times New Roman"/>
          <w:sz w:val="24"/>
        </w:rPr>
        <w:t xml:space="preserve"> were misdirected: to the extent that they were serious, they did not apply to the essence of commerce, but to something else.</w:t>
      </w:r>
    </w:p>
    <w:p w14:paraId="480AEDCB" w14:textId="6E809A90" w:rsidR="002F566E" w:rsidRDefault="004D3EAE" w:rsidP="00411136">
      <w:pPr>
        <w:pStyle w:val="normal0"/>
        <w:spacing w:line="240" w:lineRule="auto"/>
        <w:contextualSpacing w:val="0"/>
        <w:rPr>
          <w:rFonts w:ascii="Times New Roman" w:eastAsia="Times New Roman" w:hAnsi="Times New Roman" w:cs="Times New Roman"/>
          <w:sz w:val="24"/>
        </w:rPr>
      </w:pPr>
      <w:r>
        <w:rPr>
          <w:rFonts w:ascii="Times New Roman" w:eastAsia="Times New Roman" w:hAnsi="Times New Roman" w:cs="Times New Roman"/>
          <w:sz w:val="24"/>
        </w:rPr>
        <w:tab/>
        <w:t xml:space="preserve">This is why </w:t>
      </w:r>
      <w:r w:rsidR="009A1741">
        <w:rPr>
          <w:rFonts w:ascii="Times New Roman" w:eastAsia="Times New Roman" w:hAnsi="Times New Roman" w:cs="Times New Roman"/>
          <w:sz w:val="24"/>
        </w:rPr>
        <w:t>Voltaire’s</w:t>
      </w:r>
      <w:r>
        <w:rPr>
          <w:rFonts w:ascii="Times New Roman" w:eastAsia="Times New Roman" w:hAnsi="Times New Roman" w:cs="Times New Roman"/>
          <w:sz w:val="24"/>
        </w:rPr>
        <w:t xml:space="preserve"> defense of commerce required the Jews—to supply the proper object of these attacks. I argue that he worked to clear commerce of its alleged offenses by effecting a separation between </w:t>
      </w:r>
      <w:r w:rsidR="009A1741">
        <w:rPr>
          <w:rFonts w:ascii="Times New Roman" w:eastAsia="Times New Roman" w:hAnsi="Times New Roman" w:cs="Times New Roman"/>
          <w:sz w:val="24"/>
        </w:rPr>
        <w:t>“</w:t>
      </w:r>
      <w:r>
        <w:rPr>
          <w:rFonts w:ascii="Times New Roman" w:eastAsia="Times New Roman" w:hAnsi="Times New Roman" w:cs="Times New Roman"/>
          <w:sz w:val="24"/>
        </w:rPr>
        <w:t>true</w:t>
      </w:r>
      <w:r w:rsidR="009A1741">
        <w:rPr>
          <w:rFonts w:ascii="Times New Roman" w:eastAsia="Times New Roman" w:hAnsi="Times New Roman" w:cs="Times New Roman"/>
          <w:sz w:val="24"/>
        </w:rPr>
        <w:t>”</w:t>
      </w:r>
      <w:r w:rsidR="006E2AC0">
        <w:rPr>
          <w:rFonts w:ascii="Times New Roman" w:eastAsia="Times New Roman" w:hAnsi="Times New Roman" w:cs="Times New Roman"/>
          <w:sz w:val="24"/>
        </w:rPr>
        <w:t xml:space="preserve"> commerce and Jewish commerce. He deployed the notion of Jewish commerce not to express widely felt economic anxieties, but to defuse them. </w:t>
      </w:r>
      <w:r>
        <w:rPr>
          <w:rFonts w:ascii="Times New Roman" w:eastAsia="Times New Roman" w:hAnsi="Times New Roman" w:cs="Times New Roman"/>
          <w:sz w:val="24"/>
        </w:rPr>
        <w:t xml:space="preserve">Muller makes a related point when he argues that Voltaire, who was himself repeatedly charged with avarice, </w:t>
      </w:r>
      <w:r w:rsidR="009A1741">
        <w:rPr>
          <w:rFonts w:ascii="Times New Roman" w:eastAsia="Times New Roman" w:hAnsi="Times New Roman" w:cs="Times New Roman"/>
          <w:sz w:val="24"/>
        </w:rPr>
        <w:t>“</w:t>
      </w:r>
      <w:r>
        <w:rPr>
          <w:rFonts w:ascii="Times New Roman" w:eastAsia="Times New Roman" w:hAnsi="Times New Roman" w:cs="Times New Roman"/>
          <w:sz w:val="24"/>
        </w:rPr>
        <w:t>reacted by denouncing the Jews as the embodiment of the vices of which he was so frequently accused—a classic case of projection</w:t>
      </w:r>
      <w:r w:rsidR="009A1741">
        <w:rPr>
          <w:rFonts w:ascii="Times New Roman" w:eastAsia="Times New Roman" w:hAnsi="Times New Roman" w:cs="Times New Roman"/>
          <w:sz w:val="24"/>
        </w:rPr>
        <w:t>.”</w:t>
      </w:r>
      <w:r>
        <w:rPr>
          <w:rFonts w:ascii="Times New Roman" w:eastAsia="Times New Roman" w:hAnsi="Times New Roman" w:cs="Times New Roman"/>
          <w:sz w:val="24"/>
          <w:vertAlign w:val="superscript"/>
        </w:rPr>
        <w:footnoteReference w:id="50"/>
      </w:r>
      <w:r>
        <w:rPr>
          <w:rFonts w:ascii="Times New Roman" w:eastAsia="Times New Roman" w:hAnsi="Times New Roman" w:cs="Times New Roman"/>
          <w:sz w:val="24"/>
        </w:rPr>
        <w:t xml:space="preserve"> But my claim here is that Voltaire was engaged in something more ambitious: the use of anti-Semitism as an argumentative strategy to isolate what were perceived as the worst aspects of commerce as a whole, not merely his personal foibles.</w:t>
      </w:r>
    </w:p>
    <w:p w14:paraId="665170F1" w14:textId="77777777" w:rsidR="002F566E" w:rsidRDefault="002F566E" w:rsidP="00411136">
      <w:pPr>
        <w:pStyle w:val="normal0"/>
        <w:spacing w:line="240" w:lineRule="auto"/>
        <w:contextualSpacing w:val="0"/>
      </w:pPr>
    </w:p>
    <w:p w14:paraId="5D66B27A" w14:textId="77777777" w:rsidR="002F566E" w:rsidRDefault="004D3EAE" w:rsidP="00411136">
      <w:pPr>
        <w:pStyle w:val="normal0"/>
        <w:spacing w:line="240" w:lineRule="auto"/>
        <w:contextualSpacing w:val="0"/>
      </w:pPr>
      <w:r>
        <w:rPr>
          <w:rFonts w:ascii="Times New Roman" w:eastAsia="Times New Roman" w:hAnsi="Times New Roman" w:cs="Times New Roman"/>
          <w:b/>
          <w:sz w:val="24"/>
        </w:rPr>
        <w:t>Scapegoats of Commerce</w:t>
      </w:r>
    </w:p>
    <w:p w14:paraId="47D9E5DC" w14:textId="3084A808" w:rsidR="002F566E" w:rsidRDefault="004D3EAE" w:rsidP="00411136">
      <w:pPr>
        <w:pStyle w:val="normal0"/>
        <w:spacing w:line="240" w:lineRule="auto"/>
        <w:contextualSpacing w:val="0"/>
      </w:pPr>
      <w:r>
        <w:rPr>
          <w:rFonts w:ascii="Times New Roman" w:eastAsia="Times New Roman" w:hAnsi="Times New Roman" w:cs="Times New Roman"/>
          <w:sz w:val="24"/>
        </w:rPr>
        <w:t xml:space="preserve">We need not psychoanalyze Voltaire. Rather, my claim can be substantiated by showing evidence for each of three propositions: (1) commerce was criticized on certain grounds; (2) Voltaire held that this criticism was rightly directed toward Jews as a group; (3) Voltaire also defended commerce against the same criticism when Jews were removed from the equation. Of course, we might expect to find contradictions in someone who wrote so voluminously and unsystematically, but the recurrence of this pattern—abhorring in Jews the same commercial tendencies he praised in others—is telling. And the pattern does recur with reference to at least three criticisms of commerce that were common in </w:t>
      </w:r>
      <w:r w:rsidR="009A1741">
        <w:rPr>
          <w:rFonts w:ascii="Times New Roman" w:eastAsia="Times New Roman" w:hAnsi="Times New Roman" w:cs="Times New Roman"/>
          <w:sz w:val="24"/>
        </w:rPr>
        <w:t>Voltaire’s</w:t>
      </w:r>
      <w:r>
        <w:rPr>
          <w:rFonts w:ascii="Times New Roman" w:eastAsia="Times New Roman" w:hAnsi="Times New Roman" w:cs="Times New Roman"/>
          <w:sz w:val="24"/>
        </w:rPr>
        <w:t xml:space="preserve"> time: that it depended on the immoral practice of usury; that it replaced traditional relationships with a kind of calculating unsociability; and that it undermined classical, republican virtues, such as frugality and hardiness. I will examine this pattern for each criticism in turn.</w:t>
      </w:r>
    </w:p>
    <w:p w14:paraId="0D540636" w14:textId="77777777" w:rsidR="002F566E" w:rsidRDefault="002F566E" w:rsidP="00411136">
      <w:pPr>
        <w:pStyle w:val="normal0"/>
        <w:spacing w:line="240" w:lineRule="auto"/>
        <w:contextualSpacing w:val="0"/>
      </w:pPr>
    </w:p>
    <w:p w14:paraId="6B7EFE8F" w14:textId="77777777" w:rsidR="002F566E" w:rsidRDefault="004D3EAE" w:rsidP="00411136">
      <w:pPr>
        <w:pStyle w:val="normal0"/>
        <w:spacing w:line="240" w:lineRule="auto"/>
        <w:ind w:firstLine="720"/>
        <w:contextualSpacing w:val="0"/>
      </w:pPr>
      <w:r>
        <w:rPr>
          <w:rFonts w:ascii="Times New Roman" w:eastAsia="Times New Roman" w:hAnsi="Times New Roman" w:cs="Times New Roman"/>
          <w:i/>
          <w:sz w:val="24"/>
        </w:rPr>
        <w:t>Usury</w:t>
      </w:r>
      <w:r>
        <w:rPr>
          <w:rFonts w:ascii="Times New Roman" w:eastAsia="Times New Roman" w:hAnsi="Times New Roman" w:cs="Times New Roman"/>
          <w:sz w:val="24"/>
        </w:rPr>
        <w:t>.</w:t>
      </w:r>
    </w:p>
    <w:p w14:paraId="01F8B5F4" w14:textId="60D81D07" w:rsidR="002F566E" w:rsidRPr="00BA1669" w:rsidRDefault="009A1741" w:rsidP="005817AC">
      <w:pPr>
        <w:pStyle w:val="normal0"/>
        <w:spacing w:line="240" w:lineRule="auto"/>
        <w:ind w:firstLine="720"/>
        <w:contextualSpacing w:val="0"/>
        <w:rPr>
          <w:rFonts w:ascii="Times New Roman" w:eastAsia="Times New Roman" w:hAnsi="Times New Roman" w:cs="Times New Roman"/>
          <w:sz w:val="24"/>
        </w:rPr>
      </w:pPr>
      <w:r>
        <w:rPr>
          <w:rFonts w:ascii="Times New Roman" w:eastAsia="Times New Roman" w:hAnsi="Times New Roman" w:cs="Times New Roman"/>
          <w:sz w:val="24"/>
        </w:rPr>
        <w:t>Voltaire’s</w:t>
      </w:r>
      <w:r w:rsidR="004D3EAE">
        <w:rPr>
          <w:rFonts w:ascii="Times New Roman" w:eastAsia="Times New Roman" w:hAnsi="Times New Roman" w:cs="Times New Roman"/>
          <w:sz w:val="24"/>
        </w:rPr>
        <w:t xml:space="preserve"> century had, of course, inherited an ancient suspicion of lending at interest.</w:t>
      </w:r>
      <w:r w:rsidR="004D3EAE">
        <w:rPr>
          <w:rFonts w:ascii="Times New Roman" w:eastAsia="Times New Roman" w:hAnsi="Times New Roman" w:cs="Times New Roman"/>
          <w:sz w:val="24"/>
          <w:vertAlign w:val="superscript"/>
        </w:rPr>
        <w:footnoteReference w:id="51"/>
      </w:r>
      <w:r w:rsidR="004D3EAE">
        <w:rPr>
          <w:rFonts w:ascii="Times New Roman" w:eastAsia="Times New Roman" w:hAnsi="Times New Roman" w:cs="Times New Roman"/>
          <w:sz w:val="24"/>
        </w:rPr>
        <w:t xml:space="preserve"> That suspicion was derived both from classical sources—especially Aristotle</w:t>
      </w:r>
      <w:r w:rsidR="005817AC">
        <w:rPr>
          <w:rFonts w:ascii="Times New Roman" w:eastAsia="Times New Roman" w:hAnsi="Times New Roman" w:cs="Times New Roman"/>
          <w:sz w:val="24"/>
        </w:rPr>
        <w:t>’</w:t>
      </w:r>
      <w:r w:rsidR="004D3EAE">
        <w:rPr>
          <w:rFonts w:ascii="Times New Roman" w:eastAsia="Times New Roman" w:hAnsi="Times New Roman" w:cs="Times New Roman"/>
          <w:sz w:val="24"/>
        </w:rPr>
        <w:t xml:space="preserve">s condemnation of </w:t>
      </w:r>
      <w:r>
        <w:rPr>
          <w:rFonts w:ascii="Times New Roman" w:eastAsia="Times New Roman" w:hAnsi="Times New Roman" w:cs="Times New Roman"/>
          <w:sz w:val="24"/>
        </w:rPr>
        <w:t>“</w:t>
      </w:r>
      <w:r w:rsidR="004D3EAE">
        <w:rPr>
          <w:rFonts w:ascii="Times New Roman" w:eastAsia="Times New Roman" w:hAnsi="Times New Roman" w:cs="Times New Roman"/>
          <w:sz w:val="24"/>
        </w:rPr>
        <w:t>the interest bred by money</w:t>
      </w:r>
      <w:r>
        <w:rPr>
          <w:rFonts w:ascii="Times New Roman" w:eastAsia="Times New Roman" w:hAnsi="Times New Roman" w:cs="Times New Roman"/>
          <w:sz w:val="24"/>
        </w:rPr>
        <w:t>”</w:t>
      </w:r>
      <w:r w:rsidR="004D3EAE">
        <w:rPr>
          <w:rFonts w:ascii="Times New Roman" w:eastAsia="Times New Roman" w:hAnsi="Times New Roman" w:cs="Times New Roman"/>
          <w:sz w:val="24"/>
        </w:rPr>
        <w:t xml:space="preserve"> as </w:t>
      </w:r>
      <w:r>
        <w:rPr>
          <w:rFonts w:ascii="Times New Roman" w:eastAsia="Times New Roman" w:hAnsi="Times New Roman" w:cs="Times New Roman"/>
          <w:sz w:val="24"/>
        </w:rPr>
        <w:t>“</w:t>
      </w:r>
      <w:r w:rsidR="004D3EAE">
        <w:rPr>
          <w:rFonts w:ascii="Times New Roman" w:eastAsia="Times New Roman" w:hAnsi="Times New Roman" w:cs="Times New Roman"/>
          <w:sz w:val="24"/>
        </w:rPr>
        <w:t>unnatural</w:t>
      </w:r>
      <w:r>
        <w:rPr>
          <w:rFonts w:ascii="Times New Roman" w:eastAsia="Times New Roman" w:hAnsi="Times New Roman" w:cs="Times New Roman"/>
          <w:sz w:val="24"/>
        </w:rPr>
        <w:t>”</w:t>
      </w:r>
      <w:r w:rsidR="004D3EAE">
        <w:rPr>
          <w:rFonts w:ascii="Times New Roman" w:eastAsia="Times New Roman" w:hAnsi="Times New Roman" w:cs="Times New Roman"/>
          <w:sz w:val="24"/>
          <w:vertAlign w:val="superscript"/>
        </w:rPr>
        <w:footnoteReference w:id="52"/>
      </w:r>
      <w:r w:rsidR="004D3EAE">
        <w:rPr>
          <w:rFonts w:ascii="Times New Roman" w:eastAsia="Times New Roman" w:hAnsi="Times New Roman" w:cs="Times New Roman"/>
          <w:sz w:val="24"/>
        </w:rPr>
        <w:t xml:space="preserve">—and Old Testament strictures on interest-taking from </w:t>
      </w:r>
      <w:r>
        <w:rPr>
          <w:rFonts w:ascii="Times New Roman" w:eastAsia="Times New Roman" w:hAnsi="Times New Roman" w:cs="Times New Roman"/>
          <w:sz w:val="24"/>
        </w:rPr>
        <w:t>“</w:t>
      </w:r>
      <w:r w:rsidR="004D3EAE">
        <w:rPr>
          <w:rFonts w:ascii="Times New Roman" w:eastAsia="Times New Roman" w:hAnsi="Times New Roman" w:cs="Times New Roman"/>
          <w:sz w:val="24"/>
        </w:rPr>
        <w:t>brothers</w:t>
      </w:r>
      <w:r>
        <w:rPr>
          <w:rFonts w:ascii="Times New Roman" w:eastAsia="Times New Roman" w:hAnsi="Times New Roman" w:cs="Times New Roman"/>
          <w:sz w:val="24"/>
        </w:rPr>
        <w:t>.”</w:t>
      </w:r>
      <w:r w:rsidR="004D3EAE">
        <w:rPr>
          <w:rFonts w:ascii="Times New Roman" w:eastAsia="Times New Roman" w:hAnsi="Times New Roman" w:cs="Times New Roman"/>
          <w:sz w:val="24"/>
        </w:rPr>
        <w:t xml:space="preserve"> Both of these strands were influentially united by St. Thomas Aquinas and his fellow scholastics, and they retained a hold on </w:t>
      </w:r>
      <w:r w:rsidR="004D3EAE">
        <w:rPr>
          <w:rFonts w:ascii="Times New Roman" w:eastAsia="Times New Roman" w:hAnsi="Times New Roman" w:cs="Times New Roman"/>
          <w:sz w:val="24"/>
        </w:rPr>
        <w:lastRenderedPageBreak/>
        <w:t xml:space="preserve">Christian theory, if not practice, well into the age of Enlightenment. Theological arguments for delegating moneylending to those outside the Christian community were equally ancient: as early as the fourth century, St. Ambrose pronounced that </w:t>
      </w:r>
      <w:r>
        <w:rPr>
          <w:rFonts w:ascii="Times New Roman" w:eastAsia="Times New Roman" w:hAnsi="Times New Roman" w:cs="Times New Roman"/>
          <w:sz w:val="24"/>
        </w:rPr>
        <w:t>“</w:t>
      </w:r>
      <w:r w:rsidR="004D3EAE">
        <w:rPr>
          <w:rFonts w:ascii="Times New Roman" w:eastAsia="Times New Roman" w:hAnsi="Times New Roman" w:cs="Times New Roman"/>
          <w:sz w:val="24"/>
        </w:rPr>
        <w:t>where there is the right of war, there is also the right of usury</w:t>
      </w:r>
      <w:r>
        <w:rPr>
          <w:rFonts w:ascii="Times New Roman" w:eastAsia="Times New Roman" w:hAnsi="Times New Roman" w:cs="Times New Roman"/>
          <w:sz w:val="24"/>
        </w:rPr>
        <w:t>,”</w:t>
      </w:r>
      <w:r w:rsidR="00BA1669">
        <w:rPr>
          <w:rFonts w:ascii="Times New Roman" w:eastAsia="Times New Roman" w:hAnsi="Times New Roman" w:cs="Times New Roman"/>
          <w:sz w:val="24"/>
        </w:rPr>
        <w:t xml:space="preserve"> and in the </w:t>
      </w:r>
      <w:r w:rsidR="002F5D7D">
        <w:rPr>
          <w:rFonts w:ascii="Times New Roman" w:eastAsia="Times New Roman" w:hAnsi="Times New Roman" w:cs="Times New Roman"/>
          <w:sz w:val="24"/>
        </w:rPr>
        <w:t>twelfth</w:t>
      </w:r>
      <w:r w:rsidR="00BA1669">
        <w:rPr>
          <w:rFonts w:ascii="Times New Roman" w:eastAsia="Times New Roman" w:hAnsi="Times New Roman" w:cs="Times New Roman"/>
          <w:sz w:val="24"/>
        </w:rPr>
        <w:t xml:space="preserve"> century, the second Lateran Council pronounced that usurers were </w:t>
      </w:r>
      <w:r>
        <w:rPr>
          <w:rFonts w:ascii="Times New Roman" w:eastAsia="Times New Roman" w:hAnsi="Times New Roman" w:cs="Times New Roman"/>
          <w:sz w:val="24"/>
        </w:rPr>
        <w:t>“</w:t>
      </w:r>
      <w:r w:rsidR="00BA1669">
        <w:rPr>
          <w:rFonts w:ascii="Times New Roman" w:eastAsia="Times New Roman" w:hAnsi="Times New Roman" w:cs="Times New Roman"/>
          <w:sz w:val="24"/>
        </w:rPr>
        <w:t>sever[ed] from every comfort of the church</w:t>
      </w:r>
      <w:r>
        <w:rPr>
          <w:rFonts w:ascii="Times New Roman" w:eastAsia="Times New Roman" w:hAnsi="Times New Roman" w:cs="Times New Roman"/>
          <w:sz w:val="24"/>
        </w:rPr>
        <w:t>.”</w:t>
      </w:r>
      <w:r w:rsidR="004D3EAE">
        <w:rPr>
          <w:rFonts w:ascii="Times New Roman" w:eastAsia="Times New Roman" w:hAnsi="Times New Roman" w:cs="Times New Roman"/>
          <w:sz w:val="24"/>
          <w:vertAlign w:val="superscript"/>
        </w:rPr>
        <w:footnoteReference w:id="53"/>
      </w:r>
    </w:p>
    <w:p w14:paraId="3D690AD0" w14:textId="2CD86B03" w:rsidR="002F566E" w:rsidRDefault="004D3EAE" w:rsidP="00411136">
      <w:pPr>
        <w:pStyle w:val="normal0"/>
        <w:spacing w:line="240" w:lineRule="auto"/>
        <w:contextualSpacing w:val="0"/>
      </w:pPr>
      <w:r>
        <w:rPr>
          <w:rFonts w:ascii="Times New Roman" w:eastAsia="Times New Roman" w:hAnsi="Times New Roman" w:cs="Times New Roman"/>
          <w:b/>
          <w:sz w:val="24"/>
        </w:rPr>
        <w:tab/>
      </w:r>
      <w:r>
        <w:rPr>
          <w:rFonts w:ascii="Times New Roman" w:eastAsia="Times New Roman" w:hAnsi="Times New Roman" w:cs="Times New Roman"/>
          <w:sz w:val="24"/>
        </w:rPr>
        <w:t xml:space="preserve">By the </w:t>
      </w:r>
      <w:r w:rsidR="002F5D7D">
        <w:rPr>
          <w:rFonts w:ascii="Times New Roman" w:eastAsia="Times New Roman" w:hAnsi="Times New Roman" w:cs="Times New Roman"/>
          <w:sz w:val="24"/>
        </w:rPr>
        <w:t>eighteenth</w:t>
      </w:r>
      <w:r>
        <w:rPr>
          <w:rFonts w:ascii="Times New Roman" w:eastAsia="Times New Roman" w:hAnsi="Times New Roman" w:cs="Times New Roman"/>
          <w:sz w:val="24"/>
        </w:rPr>
        <w:t xml:space="preserve"> century, though, these strictures were more honored in the breach than the observance. As Zosa Szajkowski points out, </w:t>
      </w:r>
      <w:r w:rsidR="009A1741">
        <w:rPr>
          <w:rFonts w:ascii="Times New Roman" w:eastAsia="Times New Roman" w:hAnsi="Times New Roman" w:cs="Times New Roman"/>
          <w:sz w:val="24"/>
        </w:rPr>
        <w:t>“</w:t>
      </w:r>
      <w:r>
        <w:rPr>
          <w:rFonts w:ascii="Times New Roman" w:eastAsia="Times New Roman" w:hAnsi="Times New Roman" w:cs="Times New Roman"/>
          <w:sz w:val="24"/>
        </w:rPr>
        <w:t>France presented the picture of a state, where loans on interest were officially forbidden by the Church, but where the government openly practiced a similar policy of credit, the laws regulated such credit operations, the judiciary bodies recognized these regulations, and the Church itself granted loans</w:t>
      </w:r>
      <w:r w:rsidR="009A1741">
        <w:rPr>
          <w:rFonts w:ascii="Times New Roman" w:eastAsia="Times New Roman" w:hAnsi="Times New Roman" w:cs="Times New Roman"/>
          <w:sz w:val="24"/>
        </w:rPr>
        <w:t>.”</w:t>
      </w:r>
      <w:r>
        <w:rPr>
          <w:rFonts w:ascii="Times New Roman" w:eastAsia="Times New Roman" w:hAnsi="Times New Roman" w:cs="Times New Roman"/>
          <w:sz w:val="24"/>
          <w:vertAlign w:val="superscript"/>
        </w:rPr>
        <w:footnoteReference w:id="54"/>
      </w:r>
      <w:r>
        <w:rPr>
          <w:rFonts w:ascii="Times New Roman" w:eastAsia="Times New Roman" w:hAnsi="Times New Roman" w:cs="Times New Roman"/>
          <w:sz w:val="24"/>
        </w:rPr>
        <w:t xml:space="preserve"> Naturally, the growth of access to credit made possible more ambitious commercial ventures; it also, however, drew the ire of those who held to traditional teachings against moneylending. In 1703, for instance, the Bishop of Bissy in Lorraine attempted to ban usury in the province, republished a </w:t>
      </w:r>
      <w:r w:rsidR="002F5D7D">
        <w:rPr>
          <w:rFonts w:ascii="Times New Roman" w:eastAsia="Times New Roman" w:hAnsi="Times New Roman" w:cs="Times New Roman"/>
          <w:sz w:val="24"/>
        </w:rPr>
        <w:t>sixteenth</w:t>
      </w:r>
      <w:r>
        <w:rPr>
          <w:rFonts w:ascii="Times New Roman" w:eastAsia="Times New Roman" w:hAnsi="Times New Roman" w:cs="Times New Roman"/>
          <w:sz w:val="24"/>
        </w:rPr>
        <w:t xml:space="preserve">-century pastoral letter condemning the practice, and prohibited the reading of a well-known pro-usury pamphlet. In Alsace, a 1714 law established penalties against Christians who practiced </w:t>
      </w:r>
      <w:r w:rsidR="009A1741">
        <w:rPr>
          <w:rFonts w:ascii="Times New Roman" w:eastAsia="Times New Roman" w:hAnsi="Times New Roman" w:cs="Times New Roman"/>
          <w:sz w:val="24"/>
        </w:rPr>
        <w:t>“</w:t>
      </w:r>
      <w:r>
        <w:rPr>
          <w:rFonts w:ascii="Times New Roman" w:eastAsia="Times New Roman" w:hAnsi="Times New Roman" w:cs="Times New Roman"/>
          <w:sz w:val="24"/>
        </w:rPr>
        <w:t>Judaism</w:t>
      </w:r>
      <w:r w:rsidR="009A1741">
        <w:rPr>
          <w:rFonts w:ascii="Times New Roman" w:eastAsia="Times New Roman" w:hAnsi="Times New Roman" w:cs="Times New Roman"/>
          <w:sz w:val="24"/>
        </w:rPr>
        <w:t>,”</w:t>
      </w:r>
      <w:r>
        <w:rPr>
          <w:rFonts w:ascii="Times New Roman" w:eastAsia="Times New Roman" w:hAnsi="Times New Roman" w:cs="Times New Roman"/>
          <w:sz w:val="24"/>
        </w:rPr>
        <w:t xml:space="preserve"> defined as synonymous with usury.</w:t>
      </w:r>
      <w:r>
        <w:rPr>
          <w:rFonts w:ascii="Times New Roman" w:eastAsia="Times New Roman" w:hAnsi="Times New Roman" w:cs="Times New Roman"/>
          <w:sz w:val="24"/>
          <w:vertAlign w:val="superscript"/>
        </w:rPr>
        <w:footnoteReference w:id="55"/>
      </w:r>
      <w:r>
        <w:rPr>
          <w:rFonts w:ascii="Times New Roman" w:eastAsia="Times New Roman" w:hAnsi="Times New Roman" w:cs="Times New Roman"/>
          <w:sz w:val="24"/>
        </w:rPr>
        <w:t xml:space="preserve"> And in 1745, Pope Benedict XIV published the encyclical </w:t>
      </w:r>
      <w:r>
        <w:rPr>
          <w:rFonts w:ascii="Times New Roman" w:eastAsia="Times New Roman" w:hAnsi="Times New Roman" w:cs="Times New Roman"/>
          <w:i/>
          <w:sz w:val="24"/>
        </w:rPr>
        <w:t>Vix Pervenit</w:t>
      </w:r>
      <w:r>
        <w:rPr>
          <w:rFonts w:ascii="Times New Roman" w:eastAsia="Times New Roman" w:hAnsi="Times New Roman" w:cs="Times New Roman"/>
          <w:sz w:val="24"/>
        </w:rPr>
        <w:t xml:space="preserve">, which condemned </w:t>
      </w:r>
      <w:r w:rsidR="009A1741">
        <w:rPr>
          <w:rFonts w:ascii="Times New Roman" w:eastAsia="Times New Roman" w:hAnsi="Times New Roman" w:cs="Times New Roman"/>
          <w:sz w:val="24"/>
        </w:rPr>
        <w:t>“</w:t>
      </w:r>
      <w:r>
        <w:rPr>
          <w:rFonts w:ascii="Times New Roman" w:eastAsia="Times New Roman" w:hAnsi="Times New Roman" w:cs="Times New Roman"/>
          <w:sz w:val="24"/>
        </w:rPr>
        <w:t>the sin called usury</w:t>
      </w:r>
      <w:r w:rsidR="009A1741">
        <w:rPr>
          <w:rFonts w:ascii="Times New Roman" w:eastAsia="Times New Roman" w:hAnsi="Times New Roman" w:cs="Times New Roman"/>
          <w:sz w:val="24"/>
        </w:rPr>
        <w:t>”</w:t>
      </w:r>
      <w:r>
        <w:rPr>
          <w:rFonts w:ascii="Times New Roman" w:eastAsia="Times New Roman" w:hAnsi="Times New Roman" w:cs="Times New Roman"/>
          <w:sz w:val="24"/>
        </w:rPr>
        <w:t xml:space="preserve"> as that in which any lender </w:t>
      </w:r>
      <w:r w:rsidR="009A1741">
        <w:rPr>
          <w:rFonts w:ascii="Times New Roman" w:eastAsia="Times New Roman" w:hAnsi="Times New Roman" w:cs="Times New Roman"/>
          <w:sz w:val="24"/>
        </w:rPr>
        <w:t>“</w:t>
      </w:r>
      <w:r>
        <w:rPr>
          <w:rFonts w:ascii="Times New Roman" w:eastAsia="Times New Roman" w:hAnsi="Times New Roman" w:cs="Times New Roman"/>
          <w:sz w:val="24"/>
        </w:rPr>
        <w:t>contends some gain is owed him beyond that which he loaned [even though] any gain which exceeds the amount he gave is illicit</w:t>
      </w:r>
      <w:r w:rsidR="009A1741">
        <w:rPr>
          <w:rFonts w:ascii="Times New Roman" w:eastAsia="Times New Roman" w:hAnsi="Times New Roman" w:cs="Times New Roman"/>
          <w:sz w:val="24"/>
        </w:rPr>
        <w:t>.”</w:t>
      </w:r>
      <w:r>
        <w:rPr>
          <w:rFonts w:ascii="Times New Roman" w:eastAsia="Times New Roman" w:hAnsi="Times New Roman" w:cs="Times New Roman"/>
          <w:sz w:val="24"/>
          <w:vertAlign w:val="superscript"/>
        </w:rPr>
        <w:footnoteReference w:id="56"/>
      </w:r>
    </w:p>
    <w:p w14:paraId="01D097BF" w14:textId="5B7F9238" w:rsidR="002F566E" w:rsidRDefault="004D3EAE" w:rsidP="00411136">
      <w:pPr>
        <w:pStyle w:val="normal0"/>
        <w:spacing w:line="240" w:lineRule="auto"/>
        <w:contextualSpacing w:val="0"/>
      </w:pPr>
      <w:r>
        <w:rPr>
          <w:rFonts w:ascii="Times New Roman" w:eastAsia="Times New Roman" w:hAnsi="Times New Roman" w:cs="Times New Roman"/>
          <w:sz w:val="24"/>
        </w:rPr>
        <w:tab/>
        <w:t>Such condemnations were often directed against usury in general, rather than specifically Jewish usury. In fact, French usury existed even in provinces where Jews were forbidden to settle, and modern historians hold that the number of Jewish moneylenders in pre-revolutionary France as a whole remained small.</w:t>
      </w:r>
      <w:r>
        <w:rPr>
          <w:rFonts w:ascii="Times New Roman" w:eastAsia="Times New Roman" w:hAnsi="Times New Roman" w:cs="Times New Roman"/>
          <w:sz w:val="24"/>
          <w:vertAlign w:val="superscript"/>
        </w:rPr>
        <w:footnoteReference w:id="57"/>
      </w:r>
      <w:r>
        <w:rPr>
          <w:rFonts w:ascii="Times New Roman" w:eastAsia="Times New Roman" w:hAnsi="Times New Roman" w:cs="Times New Roman"/>
          <w:sz w:val="24"/>
        </w:rPr>
        <w:t xml:space="preserve"> Nevertheless, Voltaire maintained an </w:t>
      </w:r>
      <w:r w:rsidR="009A1741">
        <w:rPr>
          <w:rFonts w:ascii="Times New Roman" w:eastAsia="Times New Roman" w:hAnsi="Times New Roman" w:cs="Times New Roman"/>
          <w:sz w:val="24"/>
        </w:rPr>
        <w:t>“</w:t>
      </w:r>
      <w:r>
        <w:rPr>
          <w:rFonts w:ascii="Times New Roman" w:eastAsia="Times New Roman" w:hAnsi="Times New Roman" w:cs="Times New Roman"/>
          <w:sz w:val="24"/>
        </w:rPr>
        <w:t>obsession with Jewish usury</w:t>
      </w:r>
      <w:r w:rsidR="009A1741">
        <w:rPr>
          <w:rFonts w:ascii="Times New Roman" w:eastAsia="Times New Roman" w:hAnsi="Times New Roman" w:cs="Times New Roman"/>
          <w:sz w:val="24"/>
        </w:rPr>
        <w:t>.”</w:t>
      </w:r>
      <w:r>
        <w:rPr>
          <w:rFonts w:ascii="Times New Roman" w:eastAsia="Times New Roman" w:hAnsi="Times New Roman" w:cs="Times New Roman"/>
          <w:sz w:val="24"/>
          <w:vertAlign w:val="superscript"/>
        </w:rPr>
        <w:footnoteReference w:id="58"/>
      </w:r>
      <w:r>
        <w:rPr>
          <w:rFonts w:ascii="Times New Roman" w:eastAsia="Times New Roman" w:hAnsi="Times New Roman" w:cs="Times New Roman"/>
          <w:sz w:val="24"/>
        </w:rPr>
        <w:t xml:space="preserve"> </w:t>
      </w:r>
      <w:r w:rsidR="00AF5E17">
        <w:rPr>
          <w:rFonts w:ascii="Times New Roman" w:eastAsia="Times New Roman" w:hAnsi="Times New Roman" w:cs="Times New Roman"/>
          <w:sz w:val="24"/>
        </w:rPr>
        <w:t xml:space="preserve">In keeping with the widespread equation of Judaism and </w:t>
      </w:r>
      <w:r w:rsidR="00236841">
        <w:rPr>
          <w:rFonts w:ascii="Times New Roman" w:eastAsia="Times New Roman" w:hAnsi="Times New Roman" w:cs="Times New Roman"/>
          <w:sz w:val="24"/>
        </w:rPr>
        <w:t>moneylending</w:t>
      </w:r>
      <w:r>
        <w:rPr>
          <w:rFonts w:ascii="Times New Roman" w:eastAsia="Times New Roman" w:hAnsi="Times New Roman" w:cs="Times New Roman"/>
          <w:sz w:val="24"/>
        </w:rPr>
        <w:t xml:space="preserve">, he identified </w:t>
      </w:r>
      <w:r w:rsidR="00AF5E17">
        <w:rPr>
          <w:rFonts w:ascii="Times New Roman" w:eastAsia="Times New Roman" w:hAnsi="Times New Roman" w:cs="Times New Roman"/>
          <w:sz w:val="24"/>
        </w:rPr>
        <w:t>the Jewish people</w:t>
      </w:r>
      <w:r>
        <w:rPr>
          <w:rFonts w:ascii="Times New Roman" w:eastAsia="Times New Roman" w:hAnsi="Times New Roman" w:cs="Times New Roman"/>
          <w:sz w:val="24"/>
        </w:rPr>
        <w:t xml:space="preserve"> as congenital usurers, more prone to the practice than any other group. His </w:t>
      </w:r>
      <w:r>
        <w:rPr>
          <w:rFonts w:ascii="Times New Roman" w:eastAsia="Times New Roman" w:hAnsi="Times New Roman" w:cs="Times New Roman"/>
          <w:i/>
          <w:sz w:val="24"/>
        </w:rPr>
        <w:t>Essay on Morals</w:t>
      </w:r>
      <w:r>
        <w:rPr>
          <w:rFonts w:ascii="Times New Roman" w:eastAsia="Times New Roman" w:hAnsi="Times New Roman" w:cs="Times New Roman"/>
          <w:sz w:val="24"/>
        </w:rPr>
        <w:t xml:space="preserve">, originally published 1754, claimed that Jews brought their </w:t>
      </w:r>
      <w:r w:rsidR="002F5D7D">
        <w:rPr>
          <w:rFonts w:ascii="Times New Roman" w:eastAsia="Times New Roman" w:hAnsi="Times New Roman" w:cs="Times New Roman"/>
          <w:sz w:val="24"/>
        </w:rPr>
        <w:t>fifteenth</w:t>
      </w:r>
      <w:r>
        <w:rPr>
          <w:rFonts w:ascii="Times New Roman" w:eastAsia="Times New Roman" w:hAnsi="Times New Roman" w:cs="Times New Roman"/>
          <w:sz w:val="24"/>
        </w:rPr>
        <w:t>-century expulsion from Spain upon themselves, through usury and control of the nation</w:t>
      </w:r>
      <w:r w:rsidR="005817AC">
        <w:rPr>
          <w:rFonts w:ascii="Times New Roman" w:eastAsia="Times New Roman" w:hAnsi="Times New Roman" w:cs="Times New Roman"/>
          <w:sz w:val="24"/>
        </w:rPr>
        <w:t>’</w:t>
      </w:r>
      <w:r>
        <w:rPr>
          <w:rFonts w:ascii="Times New Roman" w:eastAsia="Times New Roman" w:hAnsi="Times New Roman" w:cs="Times New Roman"/>
          <w:sz w:val="24"/>
        </w:rPr>
        <w:t xml:space="preserve">s money supply. In his tolerant </w:t>
      </w:r>
      <w:r w:rsidR="009A1741">
        <w:rPr>
          <w:rFonts w:ascii="Times New Roman" w:eastAsia="Times New Roman" w:hAnsi="Times New Roman" w:cs="Times New Roman"/>
          <w:sz w:val="24"/>
        </w:rPr>
        <w:t>“</w:t>
      </w:r>
      <w:r>
        <w:rPr>
          <w:rFonts w:ascii="Times New Roman" w:eastAsia="Times New Roman" w:hAnsi="Times New Roman" w:cs="Times New Roman"/>
          <w:sz w:val="24"/>
        </w:rPr>
        <w:t>Sermon of Rabbi Akiba</w:t>
      </w:r>
      <w:r w:rsidR="009A1741">
        <w:rPr>
          <w:rFonts w:ascii="Times New Roman" w:eastAsia="Times New Roman" w:hAnsi="Times New Roman" w:cs="Times New Roman"/>
          <w:sz w:val="24"/>
        </w:rPr>
        <w:t>,”</w:t>
      </w:r>
      <w:r>
        <w:rPr>
          <w:rFonts w:ascii="Times New Roman" w:eastAsia="Times New Roman" w:hAnsi="Times New Roman" w:cs="Times New Roman"/>
          <w:sz w:val="24"/>
        </w:rPr>
        <w:t xml:space="preserve"> he still could not resist identifying Jews as </w:t>
      </w:r>
      <w:r w:rsidR="009A1741">
        <w:rPr>
          <w:rFonts w:ascii="Times New Roman" w:eastAsia="Times New Roman" w:hAnsi="Times New Roman" w:cs="Times New Roman"/>
          <w:sz w:val="24"/>
        </w:rPr>
        <w:t>“</w:t>
      </w:r>
      <w:r>
        <w:rPr>
          <w:rFonts w:ascii="Times New Roman" w:eastAsia="Times New Roman" w:hAnsi="Times New Roman" w:cs="Times New Roman"/>
          <w:sz w:val="24"/>
        </w:rPr>
        <w:t>infamous usurers</w:t>
      </w:r>
      <w:r w:rsidR="009A1741">
        <w:rPr>
          <w:rFonts w:ascii="Times New Roman" w:eastAsia="Times New Roman" w:hAnsi="Times New Roman" w:cs="Times New Roman"/>
          <w:sz w:val="24"/>
        </w:rPr>
        <w:t>.”</w:t>
      </w:r>
      <w:r>
        <w:rPr>
          <w:rFonts w:ascii="Times New Roman" w:eastAsia="Times New Roman" w:hAnsi="Times New Roman" w:cs="Times New Roman"/>
          <w:sz w:val="24"/>
          <w:vertAlign w:val="superscript"/>
        </w:rPr>
        <w:footnoteReference w:id="59"/>
      </w:r>
      <w:r>
        <w:rPr>
          <w:rFonts w:ascii="Times New Roman" w:eastAsia="Times New Roman" w:hAnsi="Times New Roman" w:cs="Times New Roman"/>
          <w:sz w:val="24"/>
        </w:rPr>
        <w:t xml:space="preserve"> His </w:t>
      </w:r>
      <w:r>
        <w:rPr>
          <w:rFonts w:ascii="Times New Roman" w:eastAsia="Times New Roman" w:hAnsi="Times New Roman" w:cs="Times New Roman"/>
          <w:i/>
          <w:sz w:val="24"/>
        </w:rPr>
        <w:t>Philosophical Dictionary</w:t>
      </w:r>
      <w:r>
        <w:rPr>
          <w:rFonts w:ascii="Times New Roman" w:eastAsia="Times New Roman" w:hAnsi="Times New Roman" w:cs="Times New Roman"/>
          <w:sz w:val="24"/>
        </w:rPr>
        <w:t xml:space="preserve"> insists that Jews learned </w:t>
      </w:r>
      <w:r w:rsidR="009A1741">
        <w:rPr>
          <w:rFonts w:ascii="Times New Roman" w:eastAsia="Times New Roman" w:hAnsi="Times New Roman" w:cs="Times New Roman"/>
          <w:sz w:val="24"/>
        </w:rPr>
        <w:t>“</w:t>
      </w:r>
      <w:r>
        <w:rPr>
          <w:rFonts w:ascii="Times New Roman" w:eastAsia="Times New Roman" w:hAnsi="Times New Roman" w:cs="Times New Roman"/>
          <w:sz w:val="24"/>
        </w:rPr>
        <w:t>no art</w:t>
      </w:r>
      <w:r w:rsidR="009A1741">
        <w:rPr>
          <w:rFonts w:ascii="Times New Roman" w:eastAsia="Times New Roman" w:hAnsi="Times New Roman" w:cs="Times New Roman"/>
          <w:sz w:val="24"/>
        </w:rPr>
        <w:t>”</w:t>
      </w:r>
      <w:r>
        <w:rPr>
          <w:rFonts w:ascii="Times New Roman" w:eastAsia="Times New Roman" w:hAnsi="Times New Roman" w:cs="Times New Roman"/>
          <w:sz w:val="24"/>
        </w:rPr>
        <w:t xml:space="preserve"> from contact with other peoples </w:t>
      </w:r>
      <w:r w:rsidR="009A1741">
        <w:rPr>
          <w:rFonts w:ascii="Times New Roman" w:eastAsia="Times New Roman" w:hAnsi="Times New Roman" w:cs="Times New Roman"/>
          <w:sz w:val="24"/>
        </w:rPr>
        <w:t>“</w:t>
      </w:r>
      <w:r>
        <w:rPr>
          <w:rFonts w:ascii="Times New Roman" w:eastAsia="Times New Roman" w:hAnsi="Times New Roman" w:cs="Times New Roman"/>
          <w:sz w:val="24"/>
        </w:rPr>
        <w:t>save that of usury</w:t>
      </w:r>
      <w:r w:rsidR="009A1741">
        <w:rPr>
          <w:rFonts w:ascii="Times New Roman" w:eastAsia="Times New Roman" w:hAnsi="Times New Roman" w:cs="Times New Roman"/>
          <w:sz w:val="24"/>
        </w:rPr>
        <w:t>.”</w:t>
      </w:r>
      <w:r>
        <w:rPr>
          <w:rFonts w:ascii="Times New Roman" w:eastAsia="Times New Roman" w:hAnsi="Times New Roman" w:cs="Times New Roman"/>
          <w:sz w:val="24"/>
          <w:vertAlign w:val="superscript"/>
        </w:rPr>
        <w:footnoteReference w:id="60"/>
      </w:r>
      <w:r>
        <w:rPr>
          <w:rFonts w:ascii="Times New Roman" w:eastAsia="Times New Roman" w:hAnsi="Times New Roman" w:cs="Times New Roman"/>
          <w:sz w:val="24"/>
        </w:rPr>
        <w:t xml:space="preserve"> And in 1786, the pamphleteer Foissac cited Voltaire (fairly accurately) in defense of his call to expel Jews from France</w:t>
      </w:r>
      <w:r w:rsidR="005817AC">
        <w:rPr>
          <w:rFonts w:ascii="Times New Roman" w:eastAsia="Times New Roman" w:hAnsi="Times New Roman" w:cs="Times New Roman"/>
          <w:sz w:val="24"/>
        </w:rPr>
        <w:t>’</w:t>
      </w:r>
      <w:r>
        <w:rPr>
          <w:rFonts w:ascii="Times New Roman" w:eastAsia="Times New Roman" w:hAnsi="Times New Roman" w:cs="Times New Roman"/>
          <w:sz w:val="24"/>
        </w:rPr>
        <w:t xml:space="preserve">s eastern provinces: </w:t>
      </w:r>
      <w:r w:rsidR="009A1741">
        <w:rPr>
          <w:rFonts w:ascii="Times New Roman" w:eastAsia="Times New Roman" w:hAnsi="Times New Roman" w:cs="Times New Roman"/>
          <w:sz w:val="24"/>
        </w:rPr>
        <w:t>“</w:t>
      </w:r>
      <w:r>
        <w:rPr>
          <w:rFonts w:ascii="Times New Roman" w:eastAsia="Times New Roman" w:hAnsi="Times New Roman" w:cs="Times New Roman"/>
          <w:sz w:val="24"/>
        </w:rPr>
        <w:t xml:space="preserve">Monsieur de Voltaire, who knew the Jews very well...stated, when speaking </w:t>
      </w:r>
      <w:r>
        <w:rPr>
          <w:rFonts w:ascii="Times New Roman" w:eastAsia="Times New Roman" w:hAnsi="Times New Roman" w:cs="Times New Roman"/>
          <w:sz w:val="24"/>
        </w:rPr>
        <w:lastRenderedPageBreak/>
        <w:t>of them, that in all ages leprosy, fanaticism, and usury were their distinguishing characteristics</w:t>
      </w:r>
      <w:r w:rsidR="009A1741">
        <w:rPr>
          <w:rFonts w:ascii="Times New Roman" w:eastAsia="Times New Roman" w:hAnsi="Times New Roman" w:cs="Times New Roman"/>
          <w:sz w:val="24"/>
        </w:rPr>
        <w:t>.”</w:t>
      </w:r>
      <w:r>
        <w:rPr>
          <w:rFonts w:ascii="Times New Roman" w:eastAsia="Times New Roman" w:hAnsi="Times New Roman" w:cs="Times New Roman"/>
          <w:sz w:val="24"/>
          <w:vertAlign w:val="superscript"/>
        </w:rPr>
        <w:footnoteReference w:id="61"/>
      </w:r>
    </w:p>
    <w:p w14:paraId="3A5A3E1F" w14:textId="6F505AD9" w:rsidR="002F566E" w:rsidRDefault="004D3EAE" w:rsidP="00411136">
      <w:pPr>
        <w:pStyle w:val="normal0"/>
        <w:spacing w:line="240" w:lineRule="auto"/>
        <w:contextualSpacing w:val="0"/>
      </w:pPr>
      <w:r>
        <w:rPr>
          <w:rFonts w:ascii="Times New Roman" w:eastAsia="Times New Roman" w:hAnsi="Times New Roman" w:cs="Times New Roman"/>
          <w:sz w:val="24"/>
        </w:rPr>
        <w:tab/>
        <w:t>Voltaire was hardly unique in his time in treating Judaism and usury as virtually identical.</w:t>
      </w:r>
      <w:r>
        <w:rPr>
          <w:rFonts w:ascii="Times New Roman" w:eastAsia="Times New Roman" w:hAnsi="Times New Roman" w:cs="Times New Roman"/>
          <w:sz w:val="24"/>
          <w:vertAlign w:val="superscript"/>
        </w:rPr>
        <w:footnoteReference w:id="62"/>
      </w:r>
      <w:r>
        <w:rPr>
          <w:rFonts w:ascii="Times New Roman" w:eastAsia="Times New Roman" w:hAnsi="Times New Roman" w:cs="Times New Roman"/>
          <w:sz w:val="24"/>
        </w:rPr>
        <w:t xml:space="preserve"> What makes him a special case, though, is that he passionately advocated </w:t>
      </w:r>
      <w:r>
        <w:rPr>
          <w:rFonts w:ascii="Times New Roman" w:eastAsia="Times New Roman" w:hAnsi="Times New Roman" w:cs="Times New Roman"/>
          <w:i/>
          <w:sz w:val="24"/>
        </w:rPr>
        <w:t>for</w:t>
      </w:r>
      <w:r>
        <w:rPr>
          <w:rFonts w:ascii="Times New Roman" w:eastAsia="Times New Roman" w:hAnsi="Times New Roman" w:cs="Times New Roman"/>
          <w:sz w:val="24"/>
        </w:rPr>
        <w:t xml:space="preserve"> usury, provided that its practitioners were not Jewish. In other words, Voltaire stood on both sides of the contentious usury question—depending on the identity of the usurers.</w:t>
      </w:r>
      <w:r>
        <w:rPr>
          <w:rFonts w:ascii="Times New Roman" w:eastAsia="Times New Roman" w:hAnsi="Times New Roman" w:cs="Times New Roman"/>
          <w:sz w:val="24"/>
          <w:vertAlign w:val="superscript"/>
        </w:rPr>
        <w:footnoteReference w:id="63"/>
      </w:r>
      <w:r>
        <w:rPr>
          <w:rFonts w:ascii="Times New Roman" w:eastAsia="Times New Roman" w:hAnsi="Times New Roman" w:cs="Times New Roman"/>
          <w:sz w:val="24"/>
        </w:rPr>
        <w:t xml:space="preserve"> In the same </w:t>
      </w:r>
      <w:r>
        <w:rPr>
          <w:rFonts w:ascii="Times New Roman" w:eastAsia="Times New Roman" w:hAnsi="Times New Roman" w:cs="Times New Roman"/>
          <w:i/>
          <w:sz w:val="24"/>
        </w:rPr>
        <w:t>Dictionary</w:t>
      </w:r>
      <w:r>
        <w:rPr>
          <w:rFonts w:ascii="Times New Roman" w:eastAsia="Times New Roman" w:hAnsi="Times New Roman" w:cs="Times New Roman"/>
          <w:sz w:val="24"/>
        </w:rPr>
        <w:t xml:space="preserve"> that repeatedly attacked Jews for lending at interest, Voltaire also included an invented dialogue between an abbé and a Dutch merchant. The abbé is given this laughable line: </w:t>
      </w:r>
      <w:r w:rsidR="009A1741">
        <w:rPr>
          <w:rFonts w:ascii="Times New Roman" w:eastAsia="Times New Roman" w:hAnsi="Times New Roman" w:cs="Times New Roman"/>
          <w:sz w:val="24"/>
        </w:rPr>
        <w:t>“</w:t>
      </w:r>
      <w:r>
        <w:rPr>
          <w:rFonts w:ascii="Times New Roman" w:eastAsia="Times New Roman" w:hAnsi="Times New Roman" w:cs="Times New Roman"/>
          <w:sz w:val="24"/>
        </w:rPr>
        <w:t>God forbade the Jews to lend at interest, and you are well aware that a citizen of Amsterdam should punctually obey the laws of commerce given in a wilderness to runaway vagrants who had no commerce</w:t>
      </w:r>
      <w:r w:rsidR="009A1741">
        <w:rPr>
          <w:rFonts w:ascii="Times New Roman" w:eastAsia="Times New Roman" w:hAnsi="Times New Roman" w:cs="Times New Roman"/>
          <w:sz w:val="24"/>
        </w:rPr>
        <w:t>.”</w:t>
      </w:r>
      <w:r>
        <w:rPr>
          <w:rFonts w:ascii="Times New Roman" w:eastAsia="Times New Roman" w:hAnsi="Times New Roman" w:cs="Times New Roman"/>
          <w:sz w:val="24"/>
        </w:rPr>
        <w:t xml:space="preserve"> The point, beneath the layers of sarcasm, seems to be that Old Testament restrictions on usury, being meant especially for Jews, should in no way apply to modern gentiles. The merchant responds that all modern-day opponents of usury are hypocritical moneylenders themselves, and he goes on to secure an ordinance forbidding any such preaching in the future, on the grounds that the Church must </w:t>
      </w:r>
      <w:r w:rsidR="009A1741">
        <w:rPr>
          <w:rFonts w:ascii="Times New Roman" w:eastAsia="Times New Roman" w:hAnsi="Times New Roman" w:cs="Times New Roman"/>
          <w:sz w:val="24"/>
        </w:rPr>
        <w:t>“</w:t>
      </w:r>
      <w:r>
        <w:rPr>
          <w:rFonts w:ascii="Times New Roman" w:eastAsia="Times New Roman" w:hAnsi="Times New Roman" w:cs="Times New Roman"/>
          <w:sz w:val="24"/>
        </w:rPr>
        <w:t>take care not to meddle with the laws of commerce</w:t>
      </w:r>
      <w:r w:rsidR="009A1741">
        <w:rPr>
          <w:rFonts w:ascii="Times New Roman" w:eastAsia="Times New Roman" w:hAnsi="Times New Roman" w:cs="Times New Roman"/>
          <w:sz w:val="24"/>
        </w:rPr>
        <w:t>.”</w:t>
      </w:r>
      <w:r>
        <w:rPr>
          <w:rFonts w:ascii="Times New Roman" w:eastAsia="Times New Roman" w:hAnsi="Times New Roman" w:cs="Times New Roman"/>
          <w:sz w:val="24"/>
        </w:rPr>
        <w:t xml:space="preserve"> Returning to his own voice as narrator, Voltaire demands that the Church cease </w:t>
      </w:r>
      <w:r w:rsidR="009A1741">
        <w:rPr>
          <w:rFonts w:ascii="Times New Roman" w:eastAsia="Times New Roman" w:hAnsi="Times New Roman" w:cs="Times New Roman"/>
          <w:sz w:val="24"/>
        </w:rPr>
        <w:t>“</w:t>
      </w:r>
      <w:r>
        <w:rPr>
          <w:rFonts w:ascii="Times New Roman" w:eastAsia="Times New Roman" w:hAnsi="Times New Roman" w:cs="Times New Roman"/>
          <w:sz w:val="24"/>
        </w:rPr>
        <w:t>propagating a doctrine so pernicious to commerce</w:t>
      </w:r>
      <w:r w:rsidR="009A1741">
        <w:rPr>
          <w:rFonts w:ascii="Times New Roman" w:eastAsia="Times New Roman" w:hAnsi="Times New Roman" w:cs="Times New Roman"/>
          <w:sz w:val="24"/>
        </w:rPr>
        <w:t>.”</w:t>
      </w:r>
      <w:r>
        <w:rPr>
          <w:rFonts w:ascii="Times New Roman" w:eastAsia="Times New Roman" w:hAnsi="Times New Roman" w:cs="Times New Roman"/>
          <w:sz w:val="24"/>
          <w:vertAlign w:val="superscript"/>
        </w:rPr>
        <w:footnoteReference w:id="64"/>
      </w:r>
    </w:p>
    <w:p w14:paraId="330E0CE6" w14:textId="3F38573C" w:rsidR="002F566E" w:rsidRDefault="004D3EAE" w:rsidP="00411136">
      <w:pPr>
        <w:pStyle w:val="normal0"/>
        <w:spacing w:line="240" w:lineRule="auto"/>
        <w:contextualSpacing w:val="0"/>
      </w:pPr>
      <w:r>
        <w:rPr>
          <w:rFonts w:ascii="Times New Roman" w:eastAsia="Times New Roman" w:hAnsi="Times New Roman" w:cs="Times New Roman"/>
          <w:sz w:val="24"/>
        </w:rPr>
        <w:tab/>
        <w:t>The laws of commerce, then, mandated merchants</w:t>
      </w:r>
      <w:r w:rsidR="005817AC">
        <w:rPr>
          <w:rFonts w:ascii="Times New Roman" w:eastAsia="Times New Roman" w:hAnsi="Times New Roman" w:cs="Times New Roman"/>
          <w:sz w:val="24"/>
        </w:rPr>
        <w:t>’</w:t>
      </w:r>
      <w:r>
        <w:rPr>
          <w:rFonts w:ascii="Times New Roman" w:eastAsia="Times New Roman" w:hAnsi="Times New Roman" w:cs="Times New Roman"/>
          <w:sz w:val="24"/>
        </w:rPr>
        <w:t xml:space="preserve"> freedom to charge any interest rate the market would bear—yet Voltaire </w:t>
      </w:r>
      <w:r w:rsidR="00846C0D">
        <w:rPr>
          <w:rFonts w:ascii="Times New Roman" w:eastAsia="Times New Roman" w:hAnsi="Times New Roman" w:cs="Times New Roman"/>
          <w:sz w:val="24"/>
        </w:rPr>
        <w:t>devoted</w:t>
      </w:r>
      <w:r>
        <w:rPr>
          <w:rFonts w:ascii="Times New Roman" w:eastAsia="Times New Roman" w:hAnsi="Times New Roman" w:cs="Times New Roman"/>
          <w:sz w:val="24"/>
        </w:rPr>
        <w:t xml:space="preserve"> great energy </w:t>
      </w:r>
      <w:r w:rsidR="00846C0D">
        <w:rPr>
          <w:rFonts w:ascii="Times New Roman" w:eastAsia="Times New Roman" w:hAnsi="Times New Roman" w:cs="Times New Roman"/>
          <w:sz w:val="24"/>
        </w:rPr>
        <w:t xml:space="preserve">to </w:t>
      </w:r>
      <w:r>
        <w:rPr>
          <w:rFonts w:ascii="Times New Roman" w:eastAsia="Times New Roman" w:hAnsi="Times New Roman" w:cs="Times New Roman"/>
          <w:sz w:val="24"/>
        </w:rPr>
        <w:t xml:space="preserve">condemning Jews for the very same activity. Confronting a centuries-old anti-commercial legacy, he insisted that it </w:t>
      </w:r>
      <w:r w:rsidR="0011049E">
        <w:rPr>
          <w:rFonts w:ascii="Times New Roman" w:eastAsia="Times New Roman" w:hAnsi="Times New Roman" w:cs="Times New Roman"/>
          <w:sz w:val="24"/>
        </w:rPr>
        <w:t xml:space="preserve">should </w:t>
      </w:r>
      <w:r>
        <w:rPr>
          <w:rFonts w:ascii="Times New Roman" w:eastAsia="Times New Roman" w:hAnsi="Times New Roman" w:cs="Times New Roman"/>
          <w:sz w:val="24"/>
        </w:rPr>
        <w:t>rightly restrict only the actions of a small minority. By implying that there was something uniquely objectionable in Jewish usury, Voltaire cleared space in which non-Jewish usury could be practiced without sanction or guilt.</w:t>
      </w:r>
    </w:p>
    <w:p w14:paraId="3D1191AC" w14:textId="77777777" w:rsidR="002F566E" w:rsidRDefault="002F566E" w:rsidP="00411136">
      <w:pPr>
        <w:pStyle w:val="normal0"/>
        <w:spacing w:line="240" w:lineRule="auto"/>
        <w:contextualSpacing w:val="0"/>
      </w:pPr>
    </w:p>
    <w:p w14:paraId="660E3D36" w14:textId="77777777" w:rsidR="002F566E" w:rsidRDefault="004D3EAE" w:rsidP="00411136">
      <w:pPr>
        <w:pStyle w:val="normal0"/>
        <w:spacing w:line="240" w:lineRule="auto"/>
        <w:contextualSpacing w:val="0"/>
      </w:pPr>
      <w:r>
        <w:rPr>
          <w:rFonts w:ascii="Times New Roman" w:eastAsia="Times New Roman" w:hAnsi="Times New Roman" w:cs="Times New Roman"/>
          <w:sz w:val="24"/>
        </w:rPr>
        <w:tab/>
      </w:r>
      <w:r>
        <w:rPr>
          <w:rFonts w:ascii="Times New Roman" w:eastAsia="Times New Roman" w:hAnsi="Times New Roman" w:cs="Times New Roman"/>
          <w:i/>
          <w:sz w:val="24"/>
        </w:rPr>
        <w:t>Commodification</w:t>
      </w:r>
      <w:r>
        <w:rPr>
          <w:rFonts w:ascii="Times New Roman" w:eastAsia="Times New Roman" w:hAnsi="Times New Roman" w:cs="Times New Roman"/>
          <w:sz w:val="24"/>
        </w:rPr>
        <w:t>.</w:t>
      </w:r>
    </w:p>
    <w:p w14:paraId="4B4F36A1" w14:textId="533C5B73" w:rsidR="002F566E" w:rsidRDefault="004D3EAE" w:rsidP="00411136">
      <w:pPr>
        <w:pStyle w:val="normal0"/>
        <w:spacing w:line="240" w:lineRule="auto"/>
        <w:ind w:firstLine="720"/>
        <w:contextualSpacing w:val="0"/>
      </w:pPr>
      <w:r>
        <w:rPr>
          <w:rFonts w:ascii="Times New Roman" w:eastAsia="Times New Roman" w:hAnsi="Times New Roman" w:cs="Times New Roman"/>
          <w:sz w:val="24"/>
        </w:rPr>
        <w:t xml:space="preserve">Under the heading of </w:t>
      </w:r>
      <w:r w:rsidR="009A1741">
        <w:rPr>
          <w:rFonts w:ascii="Times New Roman" w:eastAsia="Times New Roman" w:hAnsi="Times New Roman" w:cs="Times New Roman"/>
          <w:sz w:val="24"/>
        </w:rPr>
        <w:t>“</w:t>
      </w:r>
      <w:r>
        <w:rPr>
          <w:rFonts w:ascii="Times New Roman" w:eastAsia="Times New Roman" w:hAnsi="Times New Roman" w:cs="Times New Roman"/>
          <w:sz w:val="24"/>
        </w:rPr>
        <w:t>commodification</w:t>
      </w:r>
      <w:r w:rsidR="009A1741">
        <w:rPr>
          <w:rFonts w:ascii="Times New Roman" w:eastAsia="Times New Roman" w:hAnsi="Times New Roman" w:cs="Times New Roman"/>
          <w:sz w:val="24"/>
        </w:rPr>
        <w:t>,”</w:t>
      </w:r>
      <w:r>
        <w:rPr>
          <w:rFonts w:ascii="Times New Roman" w:eastAsia="Times New Roman" w:hAnsi="Times New Roman" w:cs="Times New Roman"/>
          <w:sz w:val="24"/>
        </w:rPr>
        <w:t xml:space="preserve"> I consider the family of criticisms holding that commerce corrodes human relationships and other values by affixing prices to an ever-increasing range of goods. According to these criticisms, certain goods once derived an important part of their value from the fact that they were </w:t>
      </w:r>
      <w:r w:rsidR="009A1741">
        <w:rPr>
          <w:rFonts w:ascii="Times New Roman" w:eastAsia="Times New Roman" w:hAnsi="Times New Roman" w:cs="Times New Roman"/>
          <w:sz w:val="24"/>
        </w:rPr>
        <w:t>“</w:t>
      </w:r>
      <w:r>
        <w:rPr>
          <w:rFonts w:ascii="Times New Roman" w:eastAsia="Times New Roman" w:hAnsi="Times New Roman" w:cs="Times New Roman"/>
          <w:sz w:val="24"/>
        </w:rPr>
        <w:t>priceless</w:t>
      </w:r>
      <w:r w:rsidR="009A1741">
        <w:rPr>
          <w:rFonts w:ascii="Times New Roman" w:eastAsia="Times New Roman" w:hAnsi="Times New Roman" w:cs="Times New Roman"/>
          <w:sz w:val="24"/>
        </w:rPr>
        <w:t>,”</w:t>
      </w:r>
      <w:r>
        <w:rPr>
          <w:rFonts w:ascii="Times New Roman" w:eastAsia="Times New Roman" w:hAnsi="Times New Roman" w:cs="Times New Roman"/>
          <w:sz w:val="24"/>
        </w:rPr>
        <w:t xml:space="preserve"> but</w:t>
      </w:r>
      <w:r w:rsidR="004E081E">
        <w:rPr>
          <w:rFonts w:ascii="Times New Roman" w:eastAsia="Times New Roman" w:hAnsi="Times New Roman" w:cs="Times New Roman"/>
          <w:sz w:val="24"/>
        </w:rPr>
        <w:t xml:space="preserve"> they</w:t>
      </w:r>
      <w:r>
        <w:rPr>
          <w:rFonts w:ascii="Times New Roman" w:eastAsia="Times New Roman" w:hAnsi="Times New Roman" w:cs="Times New Roman"/>
          <w:sz w:val="24"/>
        </w:rPr>
        <w:t xml:space="preserve"> were progressively cheapened as greater swathes of life came under the sway of money; traditional relationships were held to have been replaced by economic calculation. A modern version of this argument is offered in Michael Sandel</w:t>
      </w:r>
      <w:r w:rsidR="005817AC">
        <w:rPr>
          <w:rFonts w:ascii="Times New Roman" w:eastAsia="Times New Roman" w:hAnsi="Times New Roman" w:cs="Times New Roman"/>
          <w:sz w:val="24"/>
        </w:rPr>
        <w:t>’</w:t>
      </w:r>
      <w:r>
        <w:rPr>
          <w:rFonts w:ascii="Times New Roman" w:eastAsia="Times New Roman" w:hAnsi="Times New Roman" w:cs="Times New Roman"/>
          <w:sz w:val="24"/>
        </w:rPr>
        <w:t xml:space="preserve">s </w:t>
      </w:r>
      <w:r>
        <w:rPr>
          <w:rFonts w:ascii="Times New Roman" w:eastAsia="Times New Roman" w:hAnsi="Times New Roman" w:cs="Times New Roman"/>
          <w:i/>
          <w:sz w:val="24"/>
        </w:rPr>
        <w:t>What Money Can</w:t>
      </w:r>
      <w:r w:rsidR="005817AC">
        <w:rPr>
          <w:rFonts w:ascii="Times New Roman" w:eastAsia="Times New Roman" w:hAnsi="Times New Roman" w:cs="Times New Roman"/>
          <w:i/>
          <w:sz w:val="24"/>
        </w:rPr>
        <w:t>’</w:t>
      </w:r>
      <w:r>
        <w:rPr>
          <w:rFonts w:ascii="Times New Roman" w:eastAsia="Times New Roman" w:hAnsi="Times New Roman" w:cs="Times New Roman"/>
          <w:i/>
          <w:sz w:val="24"/>
        </w:rPr>
        <w:t>t Buy</w:t>
      </w:r>
      <w:r>
        <w:rPr>
          <w:rFonts w:ascii="Times New Roman" w:eastAsia="Times New Roman" w:hAnsi="Times New Roman" w:cs="Times New Roman"/>
          <w:sz w:val="24"/>
        </w:rPr>
        <w:t xml:space="preserve">: </w:t>
      </w:r>
      <w:r w:rsidR="009A1741">
        <w:rPr>
          <w:rFonts w:ascii="Times New Roman" w:eastAsia="Times New Roman" w:hAnsi="Times New Roman" w:cs="Times New Roman"/>
          <w:sz w:val="24"/>
        </w:rPr>
        <w:t>“</w:t>
      </w:r>
      <w:r>
        <w:rPr>
          <w:rFonts w:ascii="Times New Roman" w:eastAsia="Times New Roman" w:hAnsi="Times New Roman" w:cs="Times New Roman"/>
          <w:sz w:val="24"/>
        </w:rPr>
        <w:t>Some of the good things in life are corrupted or degraded if turned into commodities</w:t>
      </w:r>
      <w:r w:rsidR="009A1741">
        <w:rPr>
          <w:rFonts w:ascii="Times New Roman" w:eastAsia="Times New Roman" w:hAnsi="Times New Roman" w:cs="Times New Roman"/>
          <w:sz w:val="24"/>
        </w:rPr>
        <w:t>.”</w:t>
      </w:r>
      <w:r>
        <w:rPr>
          <w:rFonts w:ascii="Times New Roman" w:eastAsia="Times New Roman" w:hAnsi="Times New Roman" w:cs="Times New Roman"/>
          <w:sz w:val="24"/>
          <w:vertAlign w:val="superscript"/>
        </w:rPr>
        <w:footnoteReference w:id="65"/>
      </w:r>
    </w:p>
    <w:p w14:paraId="38EF9B8D" w14:textId="6E2C84B6" w:rsidR="002F566E" w:rsidRDefault="004D3EAE" w:rsidP="00411136">
      <w:pPr>
        <w:pStyle w:val="normal0"/>
        <w:spacing w:line="240" w:lineRule="auto"/>
        <w:contextualSpacing w:val="0"/>
      </w:pPr>
      <w:r>
        <w:rPr>
          <w:rFonts w:ascii="Times New Roman" w:eastAsia="Times New Roman" w:hAnsi="Times New Roman" w:cs="Times New Roman"/>
          <w:sz w:val="24"/>
        </w:rPr>
        <w:tab/>
        <w:t>That argument</w:t>
      </w:r>
      <w:r w:rsidR="005817AC">
        <w:rPr>
          <w:rFonts w:ascii="Times New Roman" w:eastAsia="Times New Roman" w:hAnsi="Times New Roman" w:cs="Times New Roman"/>
          <w:sz w:val="24"/>
        </w:rPr>
        <w:t>’</w:t>
      </w:r>
      <w:r>
        <w:rPr>
          <w:rFonts w:ascii="Times New Roman" w:eastAsia="Times New Roman" w:hAnsi="Times New Roman" w:cs="Times New Roman"/>
          <w:sz w:val="24"/>
        </w:rPr>
        <w:t xml:space="preserve">s older antecedents were frequently directed against the </w:t>
      </w:r>
      <w:r w:rsidR="002F5D7D">
        <w:rPr>
          <w:rFonts w:ascii="Times New Roman" w:eastAsia="Times New Roman" w:hAnsi="Times New Roman" w:cs="Times New Roman"/>
          <w:sz w:val="24"/>
        </w:rPr>
        <w:t>eighteenth</w:t>
      </w:r>
      <w:r>
        <w:rPr>
          <w:rFonts w:ascii="Times New Roman" w:eastAsia="Times New Roman" w:hAnsi="Times New Roman" w:cs="Times New Roman"/>
          <w:sz w:val="24"/>
        </w:rPr>
        <w:t xml:space="preserve">-century growth of commercial society. In a 1711 issue of </w:t>
      </w:r>
      <w:r>
        <w:rPr>
          <w:rFonts w:ascii="Times New Roman" w:eastAsia="Times New Roman" w:hAnsi="Times New Roman" w:cs="Times New Roman"/>
          <w:i/>
          <w:sz w:val="24"/>
        </w:rPr>
        <w:t>The Spectator</w:t>
      </w:r>
      <w:r>
        <w:rPr>
          <w:rFonts w:ascii="Times New Roman" w:eastAsia="Times New Roman" w:hAnsi="Times New Roman" w:cs="Times New Roman"/>
          <w:sz w:val="24"/>
        </w:rPr>
        <w:t xml:space="preserve">, </w:t>
      </w:r>
      <w:r>
        <w:rPr>
          <w:rFonts w:ascii="Times New Roman" w:eastAsia="Times New Roman" w:hAnsi="Times New Roman" w:cs="Times New Roman"/>
          <w:sz w:val="24"/>
        </w:rPr>
        <w:lastRenderedPageBreak/>
        <w:t xml:space="preserve">Richard Steele complained </w:t>
      </w:r>
      <w:r w:rsidR="009A1741">
        <w:rPr>
          <w:rFonts w:ascii="Times New Roman" w:eastAsia="Times New Roman" w:hAnsi="Times New Roman" w:cs="Times New Roman"/>
          <w:sz w:val="24"/>
        </w:rPr>
        <w:t>“</w:t>
      </w:r>
      <w:r>
        <w:rPr>
          <w:rFonts w:ascii="Times New Roman" w:eastAsia="Times New Roman" w:hAnsi="Times New Roman" w:cs="Times New Roman"/>
          <w:sz w:val="24"/>
        </w:rPr>
        <w:t>that it is a melancholy thing, when the World is mercenary even to the buying and selling [of] our very Persons</w:t>
      </w:r>
      <w:r w:rsidR="009A1741">
        <w:rPr>
          <w:rFonts w:ascii="Times New Roman" w:eastAsia="Times New Roman" w:hAnsi="Times New Roman" w:cs="Times New Roman"/>
          <w:sz w:val="24"/>
        </w:rPr>
        <w:t>.”</w:t>
      </w:r>
      <w:r>
        <w:rPr>
          <w:rFonts w:ascii="Times New Roman" w:eastAsia="Times New Roman" w:hAnsi="Times New Roman" w:cs="Times New Roman"/>
          <w:sz w:val="24"/>
          <w:vertAlign w:val="superscript"/>
        </w:rPr>
        <w:footnoteReference w:id="66"/>
      </w:r>
      <w:r>
        <w:rPr>
          <w:rFonts w:ascii="Times New Roman" w:eastAsia="Times New Roman" w:hAnsi="Times New Roman" w:cs="Times New Roman"/>
          <w:sz w:val="24"/>
        </w:rPr>
        <w:t xml:space="preserve"> To some, commodification was an offense against nature. Ferdinando Galiani</w:t>
      </w:r>
      <w:r w:rsidR="005817AC">
        <w:rPr>
          <w:rFonts w:ascii="Times New Roman" w:eastAsia="Times New Roman" w:hAnsi="Times New Roman" w:cs="Times New Roman"/>
          <w:sz w:val="24"/>
        </w:rPr>
        <w:t>’</w:t>
      </w:r>
      <w:r>
        <w:rPr>
          <w:rFonts w:ascii="Times New Roman" w:eastAsia="Times New Roman" w:hAnsi="Times New Roman" w:cs="Times New Roman"/>
          <w:sz w:val="24"/>
        </w:rPr>
        <w:t xml:space="preserve">s 1751 book </w:t>
      </w:r>
      <w:r>
        <w:rPr>
          <w:rFonts w:ascii="Times New Roman" w:eastAsia="Times New Roman" w:hAnsi="Times New Roman" w:cs="Times New Roman"/>
          <w:i/>
          <w:sz w:val="24"/>
        </w:rPr>
        <w:t>On Money</w:t>
      </w:r>
      <w:r>
        <w:rPr>
          <w:rFonts w:ascii="Times New Roman" w:eastAsia="Times New Roman" w:hAnsi="Times New Roman" w:cs="Times New Roman"/>
          <w:sz w:val="24"/>
        </w:rPr>
        <w:t xml:space="preserve"> reports this contemporary complaint: </w:t>
      </w:r>
      <w:r w:rsidR="009A1741">
        <w:rPr>
          <w:rFonts w:ascii="Times New Roman" w:eastAsia="Times New Roman" w:hAnsi="Times New Roman" w:cs="Times New Roman"/>
          <w:sz w:val="24"/>
        </w:rPr>
        <w:t>“</w:t>
      </w:r>
      <w:r>
        <w:rPr>
          <w:rFonts w:ascii="Times New Roman" w:eastAsia="Times New Roman" w:hAnsi="Times New Roman" w:cs="Times New Roman"/>
          <w:sz w:val="24"/>
        </w:rPr>
        <w:t>A natural lamb is more noble than one of gold, but how much less is it valued?</w:t>
      </w:r>
      <w:r w:rsidR="009A1741">
        <w:rPr>
          <w:rFonts w:ascii="Times New Roman" w:eastAsia="Times New Roman" w:hAnsi="Times New Roman" w:cs="Times New Roman"/>
          <w:sz w:val="24"/>
        </w:rPr>
        <w:t>”</w:t>
      </w:r>
      <w:r>
        <w:rPr>
          <w:rFonts w:ascii="Times New Roman" w:eastAsia="Times New Roman" w:hAnsi="Times New Roman" w:cs="Times New Roman"/>
          <w:sz w:val="24"/>
        </w:rPr>
        <w:t xml:space="preserve"> Such critics, according to Galiani, regarded the notion of a price set by market forces as an arbitrary imposition: they </w:t>
      </w:r>
      <w:r w:rsidR="009A1741">
        <w:rPr>
          <w:rFonts w:ascii="Times New Roman" w:eastAsia="Times New Roman" w:hAnsi="Times New Roman" w:cs="Times New Roman"/>
          <w:sz w:val="24"/>
        </w:rPr>
        <w:t>“</w:t>
      </w:r>
      <w:r>
        <w:rPr>
          <w:rFonts w:ascii="Times New Roman" w:eastAsia="Times New Roman" w:hAnsi="Times New Roman" w:cs="Times New Roman"/>
          <w:sz w:val="24"/>
        </w:rPr>
        <w:t>refer to it variously as folly, fraud, or madness; they regard price as unreal</w:t>
      </w:r>
      <w:r w:rsidR="009A1741">
        <w:rPr>
          <w:rFonts w:ascii="Times New Roman" w:eastAsia="Times New Roman" w:hAnsi="Times New Roman" w:cs="Times New Roman"/>
          <w:sz w:val="24"/>
        </w:rPr>
        <w:t>.”</w:t>
      </w:r>
      <w:r>
        <w:rPr>
          <w:rFonts w:ascii="Times New Roman" w:eastAsia="Times New Roman" w:hAnsi="Times New Roman" w:cs="Times New Roman"/>
          <w:sz w:val="24"/>
          <w:vertAlign w:val="superscript"/>
        </w:rPr>
        <w:footnoteReference w:id="67"/>
      </w:r>
      <w:r>
        <w:rPr>
          <w:rFonts w:ascii="Times New Roman" w:eastAsia="Times New Roman" w:hAnsi="Times New Roman" w:cs="Times New Roman"/>
          <w:sz w:val="24"/>
        </w:rPr>
        <w:t xml:space="preserve"> Among the relationships said to be corroded by markets were patriotism and generous hospitality. For John Trenchard, in a 1721 issue of </w:t>
      </w:r>
      <w:r>
        <w:rPr>
          <w:rFonts w:ascii="Times New Roman" w:eastAsia="Times New Roman" w:hAnsi="Times New Roman" w:cs="Times New Roman"/>
          <w:i/>
          <w:sz w:val="24"/>
        </w:rPr>
        <w:t>Cato</w:t>
      </w:r>
      <w:r w:rsidR="005817AC">
        <w:rPr>
          <w:rFonts w:ascii="Times New Roman" w:eastAsia="Times New Roman" w:hAnsi="Times New Roman" w:cs="Times New Roman"/>
          <w:i/>
          <w:sz w:val="24"/>
        </w:rPr>
        <w:t>’</w:t>
      </w:r>
      <w:r>
        <w:rPr>
          <w:rFonts w:ascii="Times New Roman" w:eastAsia="Times New Roman" w:hAnsi="Times New Roman" w:cs="Times New Roman"/>
          <w:i/>
          <w:sz w:val="24"/>
        </w:rPr>
        <w:t>s Letters</w:t>
      </w:r>
      <w:r>
        <w:rPr>
          <w:rFonts w:ascii="Times New Roman" w:eastAsia="Times New Roman" w:hAnsi="Times New Roman" w:cs="Times New Roman"/>
          <w:sz w:val="24"/>
        </w:rPr>
        <w:t xml:space="preserve">, </w:t>
      </w:r>
      <w:r w:rsidR="009A1741">
        <w:rPr>
          <w:rFonts w:ascii="Times New Roman" w:eastAsia="Times New Roman" w:hAnsi="Times New Roman" w:cs="Times New Roman"/>
          <w:sz w:val="24"/>
        </w:rPr>
        <w:t>“</w:t>
      </w:r>
      <w:r>
        <w:rPr>
          <w:rFonts w:ascii="Times New Roman" w:eastAsia="Times New Roman" w:hAnsi="Times New Roman" w:cs="Times New Roman"/>
          <w:sz w:val="24"/>
        </w:rPr>
        <w:t>true merchants are citizens of the world, and that is their country where they can live best</w:t>
      </w:r>
      <w:r w:rsidR="009A1741">
        <w:rPr>
          <w:rFonts w:ascii="Times New Roman" w:eastAsia="Times New Roman" w:hAnsi="Times New Roman" w:cs="Times New Roman"/>
          <w:sz w:val="24"/>
        </w:rPr>
        <w:t>”</w:t>
      </w:r>
      <w:r>
        <w:rPr>
          <w:rFonts w:ascii="Times New Roman" w:eastAsia="Times New Roman" w:hAnsi="Times New Roman" w:cs="Times New Roman"/>
          <w:sz w:val="24"/>
        </w:rPr>
        <w:t>;</w:t>
      </w:r>
      <w:r>
        <w:rPr>
          <w:rFonts w:ascii="Times New Roman" w:eastAsia="Times New Roman" w:hAnsi="Times New Roman" w:cs="Times New Roman"/>
          <w:sz w:val="24"/>
          <w:vertAlign w:val="superscript"/>
        </w:rPr>
        <w:footnoteReference w:id="68"/>
      </w:r>
      <w:r>
        <w:rPr>
          <w:rFonts w:ascii="Times New Roman" w:eastAsia="Times New Roman" w:hAnsi="Times New Roman" w:cs="Times New Roman"/>
          <w:sz w:val="24"/>
        </w:rPr>
        <w:t xml:space="preserve"> while Trenchard viewed this commercial cosmopolitanism in a generally positive light, others reacted harshly against it.</w:t>
      </w:r>
      <w:r>
        <w:rPr>
          <w:rFonts w:ascii="Times New Roman" w:eastAsia="Times New Roman" w:hAnsi="Times New Roman" w:cs="Times New Roman"/>
          <w:sz w:val="24"/>
          <w:vertAlign w:val="superscript"/>
        </w:rPr>
        <w:footnoteReference w:id="69"/>
      </w:r>
      <w:r>
        <w:rPr>
          <w:rFonts w:ascii="Times New Roman" w:eastAsia="Times New Roman" w:hAnsi="Times New Roman" w:cs="Times New Roman"/>
          <w:sz w:val="24"/>
        </w:rPr>
        <w:t xml:space="preserve"> Spontaneous generosity was also a victim of the market. In the midst of celebrating the spread of commerce in his 1766 </w:t>
      </w:r>
      <w:r>
        <w:rPr>
          <w:rFonts w:ascii="Times New Roman" w:eastAsia="Times New Roman" w:hAnsi="Times New Roman" w:cs="Times New Roman"/>
          <w:i/>
          <w:sz w:val="24"/>
        </w:rPr>
        <w:t>View of the Progress of Society in Europe</w:t>
      </w:r>
      <w:r>
        <w:rPr>
          <w:rFonts w:ascii="Times New Roman" w:eastAsia="Times New Roman" w:hAnsi="Times New Roman" w:cs="Times New Roman"/>
          <w:sz w:val="24"/>
        </w:rPr>
        <w:t xml:space="preserve">, William Robertson paused to regret that in pre-commercial society, </w:t>
      </w:r>
      <w:r w:rsidR="009A1741">
        <w:rPr>
          <w:rFonts w:ascii="Times New Roman" w:eastAsia="Times New Roman" w:hAnsi="Times New Roman" w:cs="Times New Roman"/>
          <w:sz w:val="24"/>
        </w:rPr>
        <w:t>“</w:t>
      </w:r>
      <w:r>
        <w:rPr>
          <w:rFonts w:ascii="Times New Roman" w:eastAsia="Times New Roman" w:hAnsi="Times New Roman" w:cs="Times New Roman"/>
          <w:sz w:val="24"/>
        </w:rPr>
        <w:t>hospitality abounded...and secured the stranger a kind reception under every roof where he chose to take shelter</w:t>
      </w:r>
      <w:r w:rsidR="009A1741">
        <w:rPr>
          <w:rFonts w:ascii="Times New Roman" w:eastAsia="Times New Roman" w:hAnsi="Times New Roman" w:cs="Times New Roman"/>
          <w:sz w:val="24"/>
        </w:rPr>
        <w:t>,”</w:t>
      </w:r>
      <w:r>
        <w:rPr>
          <w:rFonts w:ascii="Times New Roman" w:eastAsia="Times New Roman" w:hAnsi="Times New Roman" w:cs="Times New Roman"/>
          <w:sz w:val="24"/>
        </w:rPr>
        <w:t xml:space="preserve"> while </w:t>
      </w:r>
      <w:r w:rsidR="009A1741">
        <w:rPr>
          <w:rFonts w:ascii="Times New Roman" w:eastAsia="Times New Roman" w:hAnsi="Times New Roman" w:cs="Times New Roman"/>
          <w:sz w:val="24"/>
        </w:rPr>
        <w:t>“</w:t>
      </w:r>
      <w:r>
        <w:rPr>
          <w:rFonts w:ascii="Times New Roman" w:eastAsia="Times New Roman" w:hAnsi="Times New Roman" w:cs="Times New Roman"/>
          <w:sz w:val="24"/>
        </w:rPr>
        <w:t>the entertaining of travellers was [ultimately] converted into a branch of commerce</w:t>
      </w:r>
      <w:r w:rsidR="009A1741">
        <w:rPr>
          <w:rFonts w:ascii="Times New Roman" w:eastAsia="Times New Roman" w:hAnsi="Times New Roman" w:cs="Times New Roman"/>
          <w:sz w:val="24"/>
        </w:rPr>
        <w:t>.”</w:t>
      </w:r>
      <w:r>
        <w:rPr>
          <w:rFonts w:ascii="Times New Roman" w:eastAsia="Times New Roman" w:hAnsi="Times New Roman" w:cs="Times New Roman"/>
          <w:sz w:val="24"/>
          <w:vertAlign w:val="superscript"/>
        </w:rPr>
        <w:footnoteReference w:id="70"/>
      </w:r>
    </w:p>
    <w:p w14:paraId="5B2F3AA0" w14:textId="739DCDD6" w:rsidR="002F566E" w:rsidRDefault="004D3EAE" w:rsidP="00411136">
      <w:pPr>
        <w:pStyle w:val="normal0"/>
        <w:spacing w:line="240" w:lineRule="auto"/>
        <w:contextualSpacing w:val="0"/>
      </w:pPr>
      <w:r>
        <w:rPr>
          <w:rFonts w:ascii="Times New Roman" w:eastAsia="Times New Roman" w:hAnsi="Times New Roman" w:cs="Times New Roman"/>
          <w:sz w:val="24"/>
        </w:rPr>
        <w:tab/>
      </w:r>
      <w:r w:rsidR="009A1741">
        <w:rPr>
          <w:rFonts w:ascii="Times New Roman" w:eastAsia="Times New Roman" w:hAnsi="Times New Roman" w:cs="Times New Roman"/>
          <w:sz w:val="24"/>
        </w:rPr>
        <w:t>Voltaire’s</w:t>
      </w:r>
      <w:r>
        <w:rPr>
          <w:rFonts w:ascii="Times New Roman" w:eastAsia="Times New Roman" w:hAnsi="Times New Roman" w:cs="Times New Roman"/>
          <w:sz w:val="24"/>
        </w:rPr>
        <w:t xml:space="preserve"> own writings show that he was well-acquainted with these arguments. Again, however, he held that the corrosive, calculating brand of commerce was not a property of markets in general, but was a specific property of Jews—that, rightly considered, it was the Jewish brand of commerce that had the effects lamented above. In one of his earliest anti-Semitic writings, a 1722 letter, Voltaire accused a Jewish acquaintance of espionage, partly on the grounds that </w:t>
      </w:r>
      <w:r w:rsidR="009A1741">
        <w:rPr>
          <w:rFonts w:ascii="Times New Roman" w:eastAsia="Times New Roman" w:hAnsi="Times New Roman" w:cs="Times New Roman"/>
          <w:sz w:val="24"/>
        </w:rPr>
        <w:t>“</w:t>
      </w:r>
      <w:r>
        <w:rPr>
          <w:rFonts w:ascii="Times New Roman" w:eastAsia="Times New Roman" w:hAnsi="Times New Roman" w:cs="Times New Roman"/>
          <w:sz w:val="24"/>
        </w:rPr>
        <w:t>a Jew belongs to no land other than the one where he makes money</w:t>
      </w:r>
      <w:r w:rsidR="009A1741">
        <w:rPr>
          <w:rFonts w:ascii="Times New Roman" w:eastAsia="Times New Roman" w:hAnsi="Times New Roman" w:cs="Times New Roman"/>
          <w:sz w:val="24"/>
        </w:rPr>
        <w:t>.”</w:t>
      </w:r>
      <w:r>
        <w:rPr>
          <w:rFonts w:ascii="Times New Roman" w:eastAsia="Times New Roman" w:hAnsi="Times New Roman" w:cs="Times New Roman"/>
          <w:sz w:val="24"/>
          <w:vertAlign w:val="superscript"/>
        </w:rPr>
        <w:footnoteReference w:id="71"/>
      </w:r>
      <w:r>
        <w:rPr>
          <w:rFonts w:ascii="Times New Roman" w:eastAsia="Times New Roman" w:hAnsi="Times New Roman" w:cs="Times New Roman"/>
          <w:sz w:val="24"/>
        </w:rPr>
        <w:t xml:space="preserve"> The cosmopolitanism praised by Trenchard (and elsewhere praised by Voltaire) became sinister when practiced by a Jew. In a letter toward the end of his life, Voltaire struck the same theme in a discussion of Jewish merchants in the Americas: Jews are incapable of putting down roots in any society, but </w:t>
      </w:r>
      <w:r w:rsidR="009A1741">
        <w:rPr>
          <w:rFonts w:ascii="Times New Roman" w:eastAsia="Times New Roman" w:hAnsi="Times New Roman" w:cs="Times New Roman"/>
          <w:sz w:val="24"/>
        </w:rPr>
        <w:t>“</w:t>
      </w:r>
      <w:r>
        <w:rPr>
          <w:rFonts w:ascii="Times New Roman" w:eastAsia="Times New Roman" w:hAnsi="Times New Roman" w:cs="Times New Roman"/>
          <w:sz w:val="24"/>
        </w:rPr>
        <w:t>go wherever there is money to be made</w:t>
      </w:r>
      <w:r w:rsidR="009A1741">
        <w:rPr>
          <w:rFonts w:ascii="Times New Roman" w:eastAsia="Times New Roman" w:hAnsi="Times New Roman" w:cs="Times New Roman"/>
          <w:sz w:val="24"/>
        </w:rPr>
        <w:t>.”</w:t>
      </w:r>
      <w:r>
        <w:rPr>
          <w:rFonts w:ascii="Times New Roman" w:eastAsia="Times New Roman" w:hAnsi="Times New Roman" w:cs="Times New Roman"/>
          <w:sz w:val="24"/>
          <w:vertAlign w:val="superscript"/>
        </w:rPr>
        <w:footnoteReference w:id="72"/>
      </w:r>
      <w:r>
        <w:rPr>
          <w:rFonts w:ascii="Times New Roman" w:eastAsia="Times New Roman" w:hAnsi="Times New Roman" w:cs="Times New Roman"/>
          <w:sz w:val="24"/>
        </w:rPr>
        <w:t xml:space="preserve"> And in an exchange with a group of Jewish critics he included in a later edition of the </w:t>
      </w:r>
      <w:r>
        <w:rPr>
          <w:rFonts w:ascii="Times New Roman" w:eastAsia="Times New Roman" w:hAnsi="Times New Roman" w:cs="Times New Roman"/>
          <w:i/>
          <w:sz w:val="24"/>
        </w:rPr>
        <w:t>Dictionary</w:t>
      </w:r>
      <w:r>
        <w:rPr>
          <w:rFonts w:ascii="Times New Roman" w:eastAsia="Times New Roman" w:hAnsi="Times New Roman" w:cs="Times New Roman"/>
          <w:sz w:val="24"/>
        </w:rPr>
        <w:t xml:space="preserve">, Voltaire suggested in an acid aside that the love of money blinded Jews to culture: </w:t>
      </w:r>
      <w:r w:rsidR="009A1741">
        <w:rPr>
          <w:rFonts w:ascii="Times New Roman" w:eastAsia="Times New Roman" w:hAnsi="Times New Roman" w:cs="Times New Roman"/>
          <w:sz w:val="24"/>
        </w:rPr>
        <w:t>“</w:t>
      </w:r>
      <w:r>
        <w:rPr>
          <w:rFonts w:ascii="Times New Roman" w:eastAsia="Times New Roman" w:hAnsi="Times New Roman" w:cs="Times New Roman"/>
          <w:sz w:val="24"/>
        </w:rPr>
        <w:t>I know not how it entered my head to write an epic poem at the age of twenty. (Do you know what an epic poem is?)</w:t>
      </w:r>
      <w:r w:rsidR="009A1741">
        <w:rPr>
          <w:rFonts w:ascii="Times New Roman" w:eastAsia="Times New Roman" w:hAnsi="Times New Roman" w:cs="Times New Roman"/>
          <w:sz w:val="24"/>
        </w:rPr>
        <w:t>”</w:t>
      </w:r>
      <w:r>
        <w:rPr>
          <w:rFonts w:ascii="Times New Roman" w:eastAsia="Times New Roman" w:hAnsi="Times New Roman" w:cs="Times New Roman"/>
          <w:sz w:val="24"/>
        </w:rPr>
        <w:t xml:space="preserve"> The exchange concludes: </w:t>
      </w:r>
      <w:r w:rsidR="009A1741">
        <w:rPr>
          <w:rFonts w:ascii="Times New Roman" w:eastAsia="Times New Roman" w:hAnsi="Times New Roman" w:cs="Times New Roman"/>
          <w:sz w:val="24"/>
        </w:rPr>
        <w:t>“</w:t>
      </w:r>
      <w:r>
        <w:rPr>
          <w:rFonts w:ascii="Times New Roman" w:eastAsia="Times New Roman" w:hAnsi="Times New Roman" w:cs="Times New Roman"/>
          <w:sz w:val="24"/>
        </w:rPr>
        <w:t>You are calculating animals—try to be thinking ones</w:t>
      </w:r>
      <w:r w:rsidR="009A1741">
        <w:rPr>
          <w:rFonts w:ascii="Times New Roman" w:eastAsia="Times New Roman" w:hAnsi="Times New Roman" w:cs="Times New Roman"/>
          <w:sz w:val="24"/>
        </w:rPr>
        <w:t>.”</w:t>
      </w:r>
      <w:r>
        <w:rPr>
          <w:rFonts w:ascii="Times New Roman" w:eastAsia="Times New Roman" w:hAnsi="Times New Roman" w:cs="Times New Roman"/>
          <w:sz w:val="24"/>
          <w:vertAlign w:val="superscript"/>
        </w:rPr>
        <w:footnoteReference w:id="73"/>
      </w:r>
      <w:r>
        <w:rPr>
          <w:rFonts w:ascii="Times New Roman" w:eastAsia="Times New Roman" w:hAnsi="Times New Roman" w:cs="Times New Roman"/>
          <w:sz w:val="24"/>
        </w:rPr>
        <w:t xml:space="preserve"> Finally, as seen below, Voltaire regularly accused Jews of inhospitality. In sum, Voltaire held that Jews were uniquely unsociable, and unbound by ties of country or culture, because economic calculation had blunted all of their other attachments.</w:t>
      </w:r>
    </w:p>
    <w:p w14:paraId="3DE8F420" w14:textId="3E2C46DF" w:rsidR="002F566E" w:rsidRDefault="004D3EAE" w:rsidP="00411136">
      <w:pPr>
        <w:pStyle w:val="normal0"/>
        <w:spacing w:line="240" w:lineRule="auto"/>
        <w:contextualSpacing w:val="0"/>
      </w:pPr>
      <w:r>
        <w:rPr>
          <w:rFonts w:ascii="Times New Roman" w:eastAsia="Times New Roman" w:hAnsi="Times New Roman" w:cs="Times New Roman"/>
          <w:sz w:val="24"/>
        </w:rPr>
        <w:lastRenderedPageBreak/>
        <w:tab/>
        <w:t xml:space="preserve">This is a surprising argument from Voltaire—because elsewhere, he happily celebrated the power of the market to dissolve old allegiances. That story was told most explicitly in </w:t>
      </w:r>
      <w:r w:rsidR="009A1741">
        <w:rPr>
          <w:rFonts w:ascii="Times New Roman" w:eastAsia="Times New Roman" w:hAnsi="Times New Roman" w:cs="Times New Roman"/>
          <w:sz w:val="24"/>
        </w:rPr>
        <w:t>Voltaire’s</w:t>
      </w:r>
      <w:r>
        <w:rPr>
          <w:rFonts w:ascii="Times New Roman" w:eastAsia="Times New Roman" w:hAnsi="Times New Roman" w:cs="Times New Roman"/>
          <w:sz w:val="24"/>
        </w:rPr>
        <w:t xml:space="preserve"> universal history, the </w:t>
      </w:r>
      <w:r>
        <w:rPr>
          <w:rFonts w:ascii="Times New Roman" w:eastAsia="Times New Roman" w:hAnsi="Times New Roman" w:cs="Times New Roman"/>
          <w:i/>
          <w:sz w:val="24"/>
        </w:rPr>
        <w:t>Essay on Morals</w:t>
      </w:r>
      <w:r>
        <w:rPr>
          <w:rFonts w:ascii="Times New Roman" w:eastAsia="Times New Roman" w:hAnsi="Times New Roman" w:cs="Times New Roman"/>
          <w:sz w:val="24"/>
        </w:rPr>
        <w:t xml:space="preserve">: the spread of buying and selling, and the growth of international exchange, gentled manners, advanced intellectual cultivation and tolerance, and dampened national animosities. This was a standard </w:t>
      </w:r>
      <w:r>
        <w:rPr>
          <w:rFonts w:ascii="Times New Roman" w:eastAsia="Times New Roman" w:hAnsi="Times New Roman" w:cs="Times New Roman"/>
          <w:i/>
          <w:sz w:val="24"/>
        </w:rPr>
        <w:t>doux commerce</w:t>
      </w:r>
      <w:r>
        <w:rPr>
          <w:rFonts w:ascii="Times New Roman" w:eastAsia="Times New Roman" w:hAnsi="Times New Roman" w:cs="Times New Roman"/>
          <w:sz w:val="24"/>
        </w:rPr>
        <w:t xml:space="preserve"> account, in which economic calculation served to foster peace.</w:t>
      </w:r>
      <w:r>
        <w:rPr>
          <w:rFonts w:ascii="Times New Roman" w:eastAsia="Times New Roman" w:hAnsi="Times New Roman" w:cs="Times New Roman"/>
          <w:sz w:val="24"/>
          <w:vertAlign w:val="superscript"/>
        </w:rPr>
        <w:footnoteReference w:id="74"/>
      </w:r>
      <w:r>
        <w:rPr>
          <w:rFonts w:ascii="Times New Roman" w:eastAsia="Times New Roman" w:hAnsi="Times New Roman" w:cs="Times New Roman"/>
          <w:sz w:val="24"/>
        </w:rPr>
        <w:t xml:space="preserve"> What is noteworthy is an absence: in </w:t>
      </w:r>
      <w:r w:rsidR="009A1741">
        <w:rPr>
          <w:rFonts w:ascii="Times New Roman" w:eastAsia="Times New Roman" w:hAnsi="Times New Roman" w:cs="Times New Roman"/>
          <w:sz w:val="24"/>
        </w:rPr>
        <w:t>Voltaire’s</w:t>
      </w:r>
      <w:r>
        <w:rPr>
          <w:rFonts w:ascii="Times New Roman" w:eastAsia="Times New Roman" w:hAnsi="Times New Roman" w:cs="Times New Roman"/>
          <w:sz w:val="24"/>
        </w:rPr>
        <w:t xml:space="preserve"> progressive history of trade, the Jewish role in commerce—which he stressed so heavily elsewhere—was largely neglected. Harvey Mitchell calls this </w:t>
      </w:r>
      <w:r w:rsidR="009A1741">
        <w:rPr>
          <w:rFonts w:ascii="Times New Roman" w:eastAsia="Times New Roman" w:hAnsi="Times New Roman" w:cs="Times New Roman"/>
          <w:sz w:val="24"/>
        </w:rPr>
        <w:t>“</w:t>
      </w:r>
      <w:r>
        <w:rPr>
          <w:rFonts w:ascii="Times New Roman" w:eastAsia="Times New Roman" w:hAnsi="Times New Roman" w:cs="Times New Roman"/>
          <w:sz w:val="24"/>
        </w:rPr>
        <w:t>a narrative of commercial change from which Jews drop out of sight</w:t>
      </w:r>
      <w:r w:rsidR="009A1741">
        <w:rPr>
          <w:rFonts w:ascii="Times New Roman" w:eastAsia="Times New Roman" w:hAnsi="Times New Roman" w:cs="Times New Roman"/>
          <w:sz w:val="24"/>
        </w:rPr>
        <w:t>.”</w:t>
      </w:r>
      <w:r>
        <w:rPr>
          <w:rFonts w:ascii="Times New Roman" w:eastAsia="Times New Roman" w:hAnsi="Times New Roman" w:cs="Times New Roman"/>
          <w:sz w:val="24"/>
        </w:rPr>
        <w:t xml:space="preserve"> Voltaire </w:t>
      </w:r>
      <w:r w:rsidR="009A1741">
        <w:rPr>
          <w:rFonts w:ascii="Times New Roman" w:eastAsia="Times New Roman" w:hAnsi="Times New Roman" w:cs="Times New Roman"/>
          <w:sz w:val="24"/>
        </w:rPr>
        <w:t>“</w:t>
      </w:r>
      <w:r>
        <w:rPr>
          <w:rFonts w:ascii="Times New Roman" w:eastAsia="Times New Roman" w:hAnsi="Times New Roman" w:cs="Times New Roman"/>
          <w:sz w:val="24"/>
        </w:rPr>
        <w:t xml:space="preserve">appears not to have linked [Jewish] affluence with the softening of </w:t>
      </w:r>
      <w:r>
        <w:rPr>
          <w:rFonts w:ascii="Times New Roman" w:eastAsia="Times New Roman" w:hAnsi="Times New Roman" w:cs="Times New Roman"/>
          <w:i/>
          <w:sz w:val="24"/>
        </w:rPr>
        <w:t>moeurs</w:t>
      </w:r>
      <w:r>
        <w:rPr>
          <w:rFonts w:ascii="Times New Roman" w:eastAsia="Times New Roman" w:hAnsi="Times New Roman" w:cs="Times New Roman"/>
          <w:sz w:val="24"/>
        </w:rPr>
        <w:t xml:space="preserve"> and sensitivities to the wider world of the intellect, which lay at the core of his history of the civilizing impulse in Western Europe</w:t>
      </w:r>
      <w:r w:rsidR="009A1741">
        <w:rPr>
          <w:rFonts w:ascii="Times New Roman" w:eastAsia="Times New Roman" w:hAnsi="Times New Roman" w:cs="Times New Roman"/>
          <w:sz w:val="24"/>
        </w:rPr>
        <w:t>.”</w:t>
      </w:r>
      <w:r>
        <w:rPr>
          <w:rFonts w:ascii="Times New Roman" w:eastAsia="Times New Roman" w:hAnsi="Times New Roman" w:cs="Times New Roman"/>
          <w:sz w:val="24"/>
          <w:vertAlign w:val="superscript"/>
        </w:rPr>
        <w:footnoteReference w:id="75"/>
      </w:r>
      <w:r>
        <w:rPr>
          <w:rFonts w:ascii="Times New Roman" w:eastAsia="Times New Roman" w:hAnsi="Times New Roman" w:cs="Times New Roman"/>
          <w:sz w:val="24"/>
        </w:rPr>
        <w:t xml:space="preserve"> The pattern we observed with respect to usury reappears: the version of commerce from which Jews have been whitewashed is entirely praiseworthy.</w:t>
      </w:r>
    </w:p>
    <w:p w14:paraId="2CEA4DF6" w14:textId="13BBC46A" w:rsidR="002F566E" w:rsidRDefault="004D3EAE" w:rsidP="00411136">
      <w:pPr>
        <w:pStyle w:val="normal0"/>
        <w:spacing w:line="240" w:lineRule="auto"/>
        <w:contextualSpacing w:val="0"/>
      </w:pPr>
      <w:r>
        <w:rPr>
          <w:rFonts w:ascii="Times New Roman" w:eastAsia="Times New Roman" w:hAnsi="Times New Roman" w:cs="Times New Roman"/>
          <w:sz w:val="24"/>
        </w:rPr>
        <w:tab/>
        <w:t xml:space="preserve">That Voltaire consciously elided the Jewish role in commerce in the </w:t>
      </w:r>
      <w:r>
        <w:rPr>
          <w:rFonts w:ascii="Times New Roman" w:eastAsia="Times New Roman" w:hAnsi="Times New Roman" w:cs="Times New Roman"/>
          <w:i/>
          <w:sz w:val="24"/>
        </w:rPr>
        <w:t>Essay</w:t>
      </w:r>
      <w:r>
        <w:rPr>
          <w:rFonts w:ascii="Times New Roman" w:eastAsia="Times New Roman" w:hAnsi="Times New Roman" w:cs="Times New Roman"/>
          <w:sz w:val="24"/>
        </w:rPr>
        <w:t xml:space="preserve"> is suggested by a key contrast with the </w:t>
      </w:r>
      <w:r>
        <w:rPr>
          <w:rFonts w:ascii="Times New Roman" w:eastAsia="Times New Roman" w:hAnsi="Times New Roman" w:cs="Times New Roman"/>
          <w:i/>
          <w:sz w:val="24"/>
        </w:rPr>
        <w:t>Dictionary</w:t>
      </w:r>
      <w:r>
        <w:rPr>
          <w:rFonts w:ascii="Times New Roman" w:eastAsia="Times New Roman" w:hAnsi="Times New Roman" w:cs="Times New Roman"/>
          <w:sz w:val="24"/>
        </w:rPr>
        <w:t xml:space="preserve">. In the latter, Voltaire (citing Montesquieu) credits Jews with the invention of letters of exchange, which made secure global trade truly possible: </w:t>
      </w:r>
      <w:r w:rsidR="009A1741">
        <w:rPr>
          <w:rFonts w:ascii="Times New Roman" w:eastAsia="Times New Roman" w:hAnsi="Times New Roman" w:cs="Times New Roman"/>
          <w:sz w:val="24"/>
        </w:rPr>
        <w:t>“</w:t>
      </w:r>
      <w:r>
        <w:rPr>
          <w:rFonts w:ascii="Times New Roman" w:eastAsia="Times New Roman" w:hAnsi="Times New Roman" w:cs="Times New Roman"/>
          <w:sz w:val="24"/>
        </w:rPr>
        <w:t>Then, and not until them, commerce was enabled to elude the efforts of violence, and maintain itself throughout the world</w:t>
      </w:r>
      <w:r w:rsidR="009A1741">
        <w:rPr>
          <w:rFonts w:ascii="Times New Roman" w:eastAsia="Times New Roman" w:hAnsi="Times New Roman" w:cs="Times New Roman"/>
          <w:sz w:val="24"/>
        </w:rPr>
        <w:t>.”</w:t>
      </w:r>
      <w:r>
        <w:rPr>
          <w:rFonts w:ascii="Times New Roman" w:eastAsia="Times New Roman" w:hAnsi="Times New Roman" w:cs="Times New Roman"/>
          <w:sz w:val="24"/>
          <w:vertAlign w:val="superscript"/>
        </w:rPr>
        <w:footnoteReference w:id="76"/>
      </w:r>
      <w:r>
        <w:rPr>
          <w:rFonts w:ascii="Times New Roman" w:eastAsia="Times New Roman" w:hAnsi="Times New Roman" w:cs="Times New Roman"/>
          <w:sz w:val="24"/>
        </w:rPr>
        <w:t xml:space="preserve"> Voltaire noted this development without further comment, and returned to his usual charges of usury and avarice. But this pivotal moment in commercial history is absent from the </w:t>
      </w:r>
      <w:r>
        <w:rPr>
          <w:rFonts w:ascii="Times New Roman" w:eastAsia="Times New Roman" w:hAnsi="Times New Roman" w:cs="Times New Roman"/>
          <w:i/>
          <w:sz w:val="24"/>
        </w:rPr>
        <w:t>Essay</w:t>
      </w:r>
      <w:r>
        <w:rPr>
          <w:rFonts w:ascii="Times New Roman" w:eastAsia="Times New Roman" w:hAnsi="Times New Roman" w:cs="Times New Roman"/>
          <w:sz w:val="24"/>
        </w:rPr>
        <w:t xml:space="preserve"> and its progressive account of trade.</w:t>
      </w:r>
      <w:r>
        <w:rPr>
          <w:rFonts w:ascii="Times New Roman" w:eastAsia="Times New Roman" w:hAnsi="Times New Roman" w:cs="Times New Roman"/>
          <w:sz w:val="24"/>
          <w:vertAlign w:val="superscript"/>
        </w:rPr>
        <w:footnoteReference w:id="77"/>
      </w:r>
      <w:r>
        <w:rPr>
          <w:rFonts w:ascii="Times New Roman" w:eastAsia="Times New Roman" w:hAnsi="Times New Roman" w:cs="Times New Roman"/>
          <w:sz w:val="24"/>
        </w:rPr>
        <w:t xml:space="preserve"> Conceding a key Jewish role in that account would have </w:t>
      </w:r>
      <w:r>
        <w:rPr>
          <w:rFonts w:ascii="Times New Roman" w:eastAsia="Times New Roman" w:hAnsi="Times New Roman" w:cs="Times New Roman"/>
          <w:sz w:val="24"/>
        </w:rPr>
        <w:lastRenderedPageBreak/>
        <w:t xml:space="preserve">severely complicated </w:t>
      </w:r>
      <w:r w:rsidR="009A1741">
        <w:rPr>
          <w:rFonts w:ascii="Times New Roman" w:eastAsia="Times New Roman" w:hAnsi="Times New Roman" w:cs="Times New Roman"/>
          <w:sz w:val="24"/>
        </w:rPr>
        <w:t>Voltaire’s</w:t>
      </w:r>
      <w:r>
        <w:rPr>
          <w:rFonts w:ascii="Times New Roman" w:eastAsia="Times New Roman" w:hAnsi="Times New Roman" w:cs="Times New Roman"/>
          <w:sz w:val="24"/>
        </w:rPr>
        <w:t xml:space="preserve"> effort to isolate the most unsavory aspects of commerce as strictly Jewish.</w:t>
      </w:r>
    </w:p>
    <w:p w14:paraId="33BDA425" w14:textId="77777777" w:rsidR="002F566E" w:rsidRDefault="002F566E" w:rsidP="00411136">
      <w:pPr>
        <w:pStyle w:val="normal0"/>
        <w:spacing w:line="240" w:lineRule="auto"/>
        <w:contextualSpacing w:val="0"/>
      </w:pPr>
    </w:p>
    <w:p w14:paraId="0D4EE7C0" w14:textId="77777777" w:rsidR="002F566E" w:rsidRDefault="004D3EAE" w:rsidP="00411136">
      <w:pPr>
        <w:pStyle w:val="normal0"/>
        <w:spacing w:line="240" w:lineRule="auto"/>
        <w:contextualSpacing w:val="0"/>
      </w:pPr>
      <w:r>
        <w:rPr>
          <w:rFonts w:ascii="Times New Roman" w:eastAsia="Times New Roman" w:hAnsi="Times New Roman" w:cs="Times New Roman"/>
          <w:sz w:val="24"/>
        </w:rPr>
        <w:tab/>
      </w:r>
      <w:r>
        <w:rPr>
          <w:rFonts w:ascii="Times New Roman" w:eastAsia="Times New Roman" w:hAnsi="Times New Roman" w:cs="Times New Roman"/>
          <w:i/>
          <w:sz w:val="24"/>
        </w:rPr>
        <w:t>Attack on classical virtues</w:t>
      </w:r>
      <w:r>
        <w:rPr>
          <w:rFonts w:ascii="Times New Roman" w:eastAsia="Times New Roman" w:hAnsi="Times New Roman" w:cs="Times New Roman"/>
          <w:sz w:val="24"/>
        </w:rPr>
        <w:t>.</w:t>
      </w:r>
    </w:p>
    <w:p w14:paraId="271D6F18" w14:textId="7B4A17CC" w:rsidR="002F566E" w:rsidRDefault="004D3EAE" w:rsidP="00411136">
      <w:pPr>
        <w:pStyle w:val="normal0"/>
        <w:spacing w:line="240" w:lineRule="auto"/>
        <w:ind w:firstLine="720"/>
        <w:contextualSpacing w:val="0"/>
      </w:pPr>
      <w:r>
        <w:rPr>
          <w:rFonts w:ascii="Times New Roman" w:eastAsia="Times New Roman" w:hAnsi="Times New Roman" w:cs="Times New Roman"/>
          <w:sz w:val="24"/>
        </w:rPr>
        <w:t xml:space="preserve">There is, as we will see, a somewhat more tentative case to be made that Voltaire used Jews to defuse a third attack on commerce: that it prevented a revival of the frugal virtues of classical republicanism. A number of neoclassical writers treated the ancient world of Greece and Rome as an idealized foil for commercial society: while the ancient republics achieved glory by disdaining luxury and trade, excessive love of wealth sapped the vigor of modern states. </w:t>
      </w:r>
      <w:r w:rsidR="00862195">
        <w:rPr>
          <w:rFonts w:ascii="Times New Roman" w:eastAsia="Times New Roman" w:hAnsi="Times New Roman" w:cs="Times New Roman"/>
          <w:sz w:val="24"/>
        </w:rPr>
        <w:t>A</w:t>
      </w:r>
      <w:r>
        <w:rPr>
          <w:rFonts w:ascii="Times New Roman" w:eastAsia="Times New Roman" w:hAnsi="Times New Roman" w:cs="Times New Roman"/>
          <w:sz w:val="24"/>
        </w:rPr>
        <w:t xml:space="preserve"> notable proponent of this view</w:t>
      </w:r>
      <w:r w:rsidR="00862195">
        <w:rPr>
          <w:rFonts w:ascii="Times New Roman" w:eastAsia="Times New Roman" w:hAnsi="Times New Roman" w:cs="Times New Roman"/>
          <w:sz w:val="24"/>
        </w:rPr>
        <w:t xml:space="preserve"> was Rousseau</w:t>
      </w:r>
      <w:r>
        <w:rPr>
          <w:rFonts w:ascii="Times New Roman" w:eastAsia="Times New Roman" w:hAnsi="Times New Roman" w:cs="Times New Roman"/>
          <w:sz w:val="24"/>
        </w:rPr>
        <w:t xml:space="preserve">. In his 1754 </w:t>
      </w:r>
      <w:r w:rsidR="00877E86">
        <w:rPr>
          <w:rFonts w:ascii="Times New Roman" w:eastAsia="Times New Roman" w:hAnsi="Times New Roman" w:cs="Times New Roman"/>
          <w:sz w:val="24"/>
        </w:rPr>
        <w:t>fragment</w:t>
      </w:r>
      <w:r>
        <w:rPr>
          <w:rFonts w:ascii="Times New Roman" w:eastAsia="Times New Roman" w:hAnsi="Times New Roman" w:cs="Times New Roman"/>
          <w:sz w:val="24"/>
        </w:rPr>
        <w:t xml:space="preserve"> on </w:t>
      </w:r>
      <w:r w:rsidR="009A1741">
        <w:rPr>
          <w:rFonts w:ascii="Times New Roman" w:eastAsia="Times New Roman" w:hAnsi="Times New Roman" w:cs="Times New Roman"/>
          <w:sz w:val="24"/>
        </w:rPr>
        <w:t>“</w:t>
      </w:r>
      <w:r>
        <w:rPr>
          <w:rFonts w:ascii="Times New Roman" w:eastAsia="Times New Roman" w:hAnsi="Times New Roman" w:cs="Times New Roman"/>
          <w:sz w:val="24"/>
        </w:rPr>
        <w:t>Luxury, Commerce, and the Arts</w:t>
      </w:r>
      <w:r w:rsidR="009A1741">
        <w:rPr>
          <w:rFonts w:ascii="Times New Roman" w:eastAsia="Times New Roman" w:hAnsi="Times New Roman" w:cs="Times New Roman"/>
          <w:sz w:val="24"/>
        </w:rPr>
        <w:t>,”</w:t>
      </w:r>
      <w:r>
        <w:rPr>
          <w:rFonts w:ascii="Times New Roman" w:eastAsia="Times New Roman" w:hAnsi="Times New Roman" w:cs="Times New Roman"/>
          <w:sz w:val="24"/>
        </w:rPr>
        <w:t xml:space="preserve"> he argued that in classical society, commerce </w:t>
      </w:r>
      <w:r w:rsidR="009A1741">
        <w:rPr>
          <w:rFonts w:ascii="Times New Roman" w:eastAsia="Times New Roman" w:hAnsi="Times New Roman" w:cs="Times New Roman"/>
          <w:sz w:val="24"/>
        </w:rPr>
        <w:t>“</w:t>
      </w:r>
      <w:r>
        <w:rPr>
          <w:rFonts w:ascii="Times New Roman" w:eastAsia="Times New Roman" w:hAnsi="Times New Roman" w:cs="Times New Roman"/>
          <w:sz w:val="24"/>
        </w:rPr>
        <w:t>was tainted with the contempt felt toward luxury. The Romans despised it, the Greeks left it to Foreigners....When these Peoples started to degenerate...there was only luxury and money to satisfy them</w:t>
      </w:r>
      <w:r w:rsidR="009A1741">
        <w:rPr>
          <w:rFonts w:ascii="Times New Roman" w:eastAsia="Times New Roman" w:hAnsi="Times New Roman" w:cs="Times New Roman"/>
          <w:sz w:val="24"/>
        </w:rPr>
        <w:t>.”</w:t>
      </w:r>
      <w:r>
        <w:rPr>
          <w:rFonts w:ascii="Times New Roman" w:eastAsia="Times New Roman" w:hAnsi="Times New Roman" w:cs="Times New Roman"/>
          <w:sz w:val="24"/>
          <w:vertAlign w:val="superscript"/>
        </w:rPr>
        <w:footnoteReference w:id="78"/>
      </w:r>
      <w:r>
        <w:rPr>
          <w:rFonts w:ascii="Times New Roman" w:eastAsia="Times New Roman" w:hAnsi="Times New Roman" w:cs="Times New Roman"/>
          <w:sz w:val="24"/>
        </w:rPr>
        <w:t xml:space="preserve"> Modern states, needless to say, were far down a similar road to decadence. Adam Ferguson struck a similar note in his 1767 </w:t>
      </w:r>
      <w:r>
        <w:rPr>
          <w:rFonts w:ascii="Times New Roman" w:eastAsia="Times New Roman" w:hAnsi="Times New Roman" w:cs="Times New Roman"/>
          <w:i/>
          <w:sz w:val="24"/>
        </w:rPr>
        <w:t>Essay on the History of Civil Society</w:t>
      </w:r>
      <w:r>
        <w:rPr>
          <w:rFonts w:ascii="Times New Roman" w:eastAsia="Times New Roman" w:hAnsi="Times New Roman" w:cs="Times New Roman"/>
          <w:sz w:val="24"/>
        </w:rPr>
        <w:t xml:space="preserve">, where he praised the virtuous and regimented life of ancient Sparta. The typical Spartan </w:t>
      </w:r>
      <w:r w:rsidR="009A1741">
        <w:rPr>
          <w:rFonts w:ascii="Times New Roman" w:eastAsia="Times New Roman" w:hAnsi="Times New Roman" w:cs="Times New Roman"/>
          <w:sz w:val="24"/>
        </w:rPr>
        <w:t>“</w:t>
      </w:r>
      <w:r>
        <w:rPr>
          <w:rFonts w:ascii="Times New Roman" w:eastAsia="Times New Roman" w:hAnsi="Times New Roman" w:cs="Times New Roman"/>
          <w:sz w:val="24"/>
        </w:rPr>
        <w:t>was active, penetrating, brave, disinterested, and generous; but his estate, his table, and his furniture, might, in our esteem, have marred the lustre of all his virtues</w:t>
      </w:r>
      <w:r w:rsidR="009A1741">
        <w:rPr>
          <w:rFonts w:ascii="Times New Roman" w:eastAsia="Times New Roman" w:hAnsi="Times New Roman" w:cs="Times New Roman"/>
          <w:sz w:val="24"/>
        </w:rPr>
        <w:t>.”</w:t>
      </w:r>
      <w:r>
        <w:rPr>
          <w:rFonts w:ascii="Times New Roman" w:eastAsia="Times New Roman" w:hAnsi="Times New Roman" w:cs="Times New Roman"/>
          <w:sz w:val="24"/>
        </w:rPr>
        <w:t xml:space="preserve"> Sparta</w:t>
      </w:r>
      <w:r w:rsidR="00EB4910">
        <w:rPr>
          <w:rFonts w:ascii="Times New Roman" w:eastAsia="Times New Roman" w:hAnsi="Times New Roman" w:cs="Times New Roman"/>
          <w:sz w:val="24"/>
        </w:rPr>
        <w:t>’</w:t>
      </w:r>
      <w:r>
        <w:rPr>
          <w:rFonts w:ascii="Times New Roman" w:eastAsia="Times New Roman" w:hAnsi="Times New Roman" w:cs="Times New Roman"/>
          <w:sz w:val="24"/>
        </w:rPr>
        <w:t xml:space="preserve">s independence and power endured for centuries, precisely because it valued the true virtues, not the illusory virtue suggested by wealth. In modern Europe, by contrast, </w:t>
      </w:r>
      <w:r w:rsidR="009A1741">
        <w:rPr>
          <w:rFonts w:ascii="Times New Roman" w:eastAsia="Times New Roman" w:hAnsi="Times New Roman" w:cs="Times New Roman"/>
          <w:sz w:val="24"/>
        </w:rPr>
        <w:t>“</w:t>
      </w:r>
      <w:r>
        <w:rPr>
          <w:rFonts w:ascii="Times New Roman" w:eastAsia="Times New Roman" w:hAnsi="Times New Roman" w:cs="Times New Roman"/>
          <w:sz w:val="24"/>
        </w:rPr>
        <w:t>men must be rich, in order to be great</w:t>
      </w:r>
      <w:r w:rsidR="009A1741">
        <w:rPr>
          <w:rFonts w:ascii="Times New Roman" w:eastAsia="Times New Roman" w:hAnsi="Times New Roman" w:cs="Times New Roman"/>
          <w:sz w:val="24"/>
        </w:rPr>
        <w:t>.”</w:t>
      </w:r>
      <w:r>
        <w:rPr>
          <w:rFonts w:ascii="Times New Roman" w:eastAsia="Times New Roman" w:hAnsi="Times New Roman" w:cs="Times New Roman"/>
          <w:sz w:val="24"/>
          <w:vertAlign w:val="superscript"/>
        </w:rPr>
        <w:footnoteReference w:id="79"/>
      </w:r>
      <w:r w:rsidR="00E06DB0">
        <w:rPr>
          <w:rFonts w:ascii="Times New Roman" w:eastAsia="Times New Roman" w:hAnsi="Times New Roman" w:cs="Times New Roman"/>
          <w:sz w:val="24"/>
        </w:rPr>
        <w:t xml:space="preserve"> As John Shovlin sums up t</w:t>
      </w:r>
      <w:r w:rsidR="00E67C9E">
        <w:rPr>
          <w:rFonts w:ascii="Times New Roman" w:eastAsia="Times New Roman" w:hAnsi="Times New Roman" w:cs="Times New Roman"/>
          <w:sz w:val="24"/>
        </w:rPr>
        <w:t xml:space="preserve">his strand of historiography, </w:t>
      </w:r>
      <w:r w:rsidR="009A1741">
        <w:rPr>
          <w:rFonts w:ascii="Times New Roman" w:eastAsia="Times New Roman" w:hAnsi="Times New Roman" w:cs="Times New Roman"/>
          <w:sz w:val="24"/>
        </w:rPr>
        <w:t>“</w:t>
      </w:r>
      <w:r w:rsidR="00E67C9E">
        <w:rPr>
          <w:rFonts w:ascii="Times New Roman" w:eastAsia="Times New Roman" w:hAnsi="Times New Roman" w:cs="Times New Roman"/>
          <w:sz w:val="24"/>
        </w:rPr>
        <w:t>l</w:t>
      </w:r>
      <w:r w:rsidR="00E06DB0">
        <w:rPr>
          <w:rFonts w:ascii="Times New Roman" w:eastAsia="Times New Roman" w:hAnsi="Times New Roman" w:cs="Times New Roman"/>
          <w:sz w:val="24"/>
        </w:rPr>
        <w:t>uxurious nations were sooner or later struck by despotism</w:t>
      </w:r>
      <w:r w:rsidR="009A1741">
        <w:rPr>
          <w:rFonts w:ascii="Times New Roman" w:eastAsia="Times New Roman" w:hAnsi="Times New Roman" w:cs="Times New Roman"/>
          <w:sz w:val="24"/>
        </w:rPr>
        <w:t>.”</w:t>
      </w:r>
      <w:r w:rsidR="00E06DB0">
        <w:rPr>
          <w:rStyle w:val="FootnoteReference"/>
          <w:rFonts w:ascii="Times New Roman" w:eastAsia="Times New Roman" w:hAnsi="Times New Roman" w:cs="Times New Roman"/>
          <w:sz w:val="24"/>
        </w:rPr>
        <w:footnoteReference w:id="80"/>
      </w:r>
    </w:p>
    <w:p w14:paraId="2F3BA3FE" w14:textId="0FC09811" w:rsidR="002F566E" w:rsidRDefault="004D3EAE" w:rsidP="00411136">
      <w:pPr>
        <w:pStyle w:val="normal0"/>
        <w:spacing w:line="240" w:lineRule="auto"/>
        <w:contextualSpacing w:val="0"/>
      </w:pPr>
      <w:r>
        <w:rPr>
          <w:rFonts w:ascii="Times New Roman" w:eastAsia="Times New Roman" w:hAnsi="Times New Roman" w:cs="Times New Roman"/>
          <w:sz w:val="24"/>
        </w:rPr>
        <w:tab/>
        <w:t>Voltaire, too, considered himself a guardian of the classical legacy. But, as might be unsurprising at this point, he held that the greatest threat to a revival of classical virtue came not from commerce, but from Jewish culture. Specifically, he s</w:t>
      </w:r>
      <w:r w:rsidR="00C75A46">
        <w:rPr>
          <w:rFonts w:ascii="Times New Roman" w:eastAsia="Times New Roman" w:hAnsi="Times New Roman" w:cs="Times New Roman"/>
          <w:sz w:val="24"/>
        </w:rPr>
        <w:t>aw the alien culture of the Jewish people</w:t>
      </w:r>
      <w:r>
        <w:rPr>
          <w:rFonts w:ascii="Times New Roman" w:eastAsia="Times New Roman" w:hAnsi="Times New Roman" w:cs="Times New Roman"/>
          <w:sz w:val="24"/>
        </w:rPr>
        <w:t>, as disseminated both by Christianity and by Jews themselves, as the age-old enemy of Europe</w:t>
      </w:r>
      <w:r w:rsidR="00EB4910">
        <w:rPr>
          <w:rFonts w:ascii="Times New Roman" w:eastAsia="Times New Roman" w:hAnsi="Times New Roman" w:cs="Times New Roman"/>
          <w:sz w:val="24"/>
        </w:rPr>
        <w:t>’</w:t>
      </w:r>
      <w:r>
        <w:rPr>
          <w:rFonts w:ascii="Times New Roman" w:eastAsia="Times New Roman" w:hAnsi="Times New Roman" w:cs="Times New Roman"/>
          <w:sz w:val="24"/>
        </w:rPr>
        <w:t xml:space="preserve">s true Greco-Roman heritage. For Voltaire, the classical-Jewish tension was ancient, and almost Manichean in its starkness. Ancient peoples could be classified easily on this schema: </w:t>
      </w:r>
      <w:r w:rsidR="009A1741">
        <w:rPr>
          <w:rFonts w:ascii="Times New Roman" w:eastAsia="Times New Roman" w:hAnsi="Times New Roman" w:cs="Times New Roman"/>
          <w:sz w:val="24"/>
        </w:rPr>
        <w:t>“</w:t>
      </w:r>
      <w:r>
        <w:rPr>
          <w:rFonts w:ascii="Times New Roman" w:eastAsia="Times New Roman" w:hAnsi="Times New Roman" w:cs="Times New Roman"/>
          <w:sz w:val="24"/>
        </w:rPr>
        <w:t>Greeks, who philosophised...Romans, who ruled...Jews, who amassed wealth</w:t>
      </w:r>
      <w:r w:rsidR="009A1741">
        <w:rPr>
          <w:rFonts w:ascii="Times New Roman" w:eastAsia="Times New Roman" w:hAnsi="Times New Roman" w:cs="Times New Roman"/>
          <w:sz w:val="24"/>
        </w:rPr>
        <w:t>.”</w:t>
      </w:r>
      <w:r>
        <w:rPr>
          <w:rFonts w:ascii="Times New Roman" w:eastAsia="Times New Roman" w:hAnsi="Times New Roman" w:cs="Times New Roman"/>
          <w:sz w:val="24"/>
          <w:vertAlign w:val="superscript"/>
        </w:rPr>
        <w:footnoteReference w:id="81"/>
      </w:r>
      <w:r>
        <w:rPr>
          <w:rFonts w:ascii="Times New Roman" w:eastAsia="Times New Roman" w:hAnsi="Times New Roman" w:cs="Times New Roman"/>
          <w:sz w:val="24"/>
        </w:rPr>
        <w:t xml:space="preserve"> In fact, whatever was valuable in Jewish culture and literature was likely plagiarized from neighboring Greeks. Voltaire was fond of repeating charges from Cicero, Seneca, and Tacitus that Jews were uniquely selfish and inhospitable; Voltaire, like Tacitus, interpreted Jews</w:t>
      </w:r>
      <w:r w:rsidR="00EB4910">
        <w:rPr>
          <w:rFonts w:ascii="Times New Roman" w:eastAsia="Times New Roman" w:hAnsi="Times New Roman" w:cs="Times New Roman"/>
          <w:sz w:val="24"/>
        </w:rPr>
        <w:t>’</w:t>
      </w:r>
      <w:r>
        <w:rPr>
          <w:rFonts w:ascii="Times New Roman" w:eastAsia="Times New Roman" w:hAnsi="Times New Roman" w:cs="Times New Roman"/>
          <w:sz w:val="24"/>
        </w:rPr>
        <w:t xml:space="preserve"> strict dietary laws as forbidding them from sharing a table with gentiles. Voltaire even imagined himself acting out the role of an ancient anti-Semite: in a fictional letter to Cicero under the penname </w:t>
      </w:r>
      <w:r w:rsidR="009A1741">
        <w:rPr>
          <w:rFonts w:ascii="Times New Roman" w:eastAsia="Times New Roman" w:hAnsi="Times New Roman" w:cs="Times New Roman"/>
          <w:sz w:val="24"/>
        </w:rPr>
        <w:t>“</w:t>
      </w:r>
      <w:r>
        <w:rPr>
          <w:rFonts w:ascii="Times New Roman" w:eastAsia="Times New Roman" w:hAnsi="Times New Roman" w:cs="Times New Roman"/>
          <w:sz w:val="24"/>
        </w:rPr>
        <w:t>Memmius</w:t>
      </w:r>
      <w:r w:rsidR="009A1741">
        <w:rPr>
          <w:rFonts w:ascii="Times New Roman" w:eastAsia="Times New Roman" w:hAnsi="Times New Roman" w:cs="Times New Roman"/>
          <w:sz w:val="24"/>
        </w:rPr>
        <w:t>,”</w:t>
      </w:r>
      <w:r>
        <w:rPr>
          <w:rFonts w:ascii="Times New Roman" w:eastAsia="Times New Roman" w:hAnsi="Times New Roman" w:cs="Times New Roman"/>
          <w:sz w:val="24"/>
        </w:rPr>
        <w:t xml:space="preserve"> he wrote that Jews </w:t>
      </w:r>
      <w:r w:rsidR="009A1741">
        <w:rPr>
          <w:rFonts w:ascii="Times New Roman" w:eastAsia="Times New Roman" w:hAnsi="Times New Roman" w:cs="Times New Roman"/>
          <w:sz w:val="24"/>
        </w:rPr>
        <w:t>“</w:t>
      </w:r>
      <w:r>
        <w:rPr>
          <w:rFonts w:ascii="Times New Roman" w:eastAsia="Times New Roman" w:hAnsi="Times New Roman" w:cs="Times New Roman"/>
          <w:sz w:val="24"/>
        </w:rPr>
        <w:t>are, all of them, born with raging fanaticism in their hearts....I would not be in the least bit surprised if these people would not some day become deadly to the human race</w:t>
      </w:r>
      <w:r w:rsidR="009A1741">
        <w:rPr>
          <w:rFonts w:ascii="Times New Roman" w:eastAsia="Times New Roman" w:hAnsi="Times New Roman" w:cs="Times New Roman"/>
          <w:sz w:val="24"/>
        </w:rPr>
        <w:t>.”</w:t>
      </w:r>
      <w:r>
        <w:rPr>
          <w:rFonts w:ascii="Times New Roman" w:eastAsia="Times New Roman" w:hAnsi="Times New Roman" w:cs="Times New Roman"/>
          <w:sz w:val="24"/>
          <w:vertAlign w:val="superscript"/>
        </w:rPr>
        <w:footnoteReference w:id="82"/>
      </w:r>
      <w:r>
        <w:rPr>
          <w:rFonts w:ascii="Times New Roman" w:eastAsia="Times New Roman" w:hAnsi="Times New Roman" w:cs="Times New Roman"/>
          <w:sz w:val="24"/>
        </w:rPr>
        <w:t xml:space="preserve"> This classicizing attitude was a crucial step in the development of modern, </w:t>
      </w:r>
      <w:r>
        <w:rPr>
          <w:rFonts w:ascii="Times New Roman" w:eastAsia="Times New Roman" w:hAnsi="Times New Roman" w:cs="Times New Roman"/>
          <w:sz w:val="24"/>
        </w:rPr>
        <w:lastRenderedPageBreak/>
        <w:t>secular anti-Semitism, which justified itself by reference to Jews</w:t>
      </w:r>
      <w:r w:rsidR="00EB4910">
        <w:rPr>
          <w:rFonts w:ascii="Times New Roman" w:eastAsia="Times New Roman" w:hAnsi="Times New Roman" w:cs="Times New Roman"/>
          <w:sz w:val="24"/>
        </w:rPr>
        <w:t>’</w:t>
      </w:r>
      <w:r>
        <w:rPr>
          <w:rFonts w:ascii="Times New Roman" w:eastAsia="Times New Roman" w:hAnsi="Times New Roman" w:cs="Times New Roman"/>
          <w:sz w:val="24"/>
        </w:rPr>
        <w:t xml:space="preserve"> inborn nature rather than their religion.</w:t>
      </w:r>
      <w:r>
        <w:rPr>
          <w:rFonts w:ascii="Times New Roman" w:eastAsia="Times New Roman" w:hAnsi="Times New Roman" w:cs="Times New Roman"/>
          <w:sz w:val="24"/>
          <w:vertAlign w:val="superscript"/>
        </w:rPr>
        <w:footnoteReference w:id="83"/>
      </w:r>
    </w:p>
    <w:p w14:paraId="1E0F0A90" w14:textId="1941ADA4" w:rsidR="002F566E" w:rsidRDefault="004D3EAE" w:rsidP="00411136">
      <w:pPr>
        <w:pStyle w:val="normal0"/>
        <w:spacing w:line="240" w:lineRule="auto"/>
        <w:contextualSpacing w:val="0"/>
      </w:pPr>
      <w:r>
        <w:rPr>
          <w:rFonts w:ascii="Times New Roman" w:eastAsia="Times New Roman" w:hAnsi="Times New Roman" w:cs="Times New Roman"/>
          <w:sz w:val="24"/>
        </w:rPr>
        <w:tab/>
        <w:t xml:space="preserve">Voltaire was as strict a classicist as any when he felt that the Greco-Roman heritage was threatened by Jews; but he was far more cavalier about classical virtues when they were threatened by commerce. In the </w:t>
      </w:r>
      <w:r>
        <w:rPr>
          <w:rFonts w:ascii="Times New Roman" w:eastAsia="Times New Roman" w:hAnsi="Times New Roman" w:cs="Times New Roman"/>
          <w:i/>
          <w:sz w:val="24"/>
        </w:rPr>
        <w:t>Dictionary</w:t>
      </w:r>
      <w:r>
        <w:rPr>
          <w:rFonts w:ascii="Times New Roman" w:eastAsia="Times New Roman" w:hAnsi="Times New Roman" w:cs="Times New Roman"/>
          <w:sz w:val="24"/>
        </w:rPr>
        <w:t>, for instance, he mocked the Rousseauian notion that Rome</w:t>
      </w:r>
      <w:r w:rsidR="00EB4910">
        <w:rPr>
          <w:rFonts w:ascii="Times New Roman" w:eastAsia="Times New Roman" w:hAnsi="Times New Roman" w:cs="Times New Roman"/>
          <w:sz w:val="24"/>
        </w:rPr>
        <w:t>’</w:t>
      </w:r>
      <w:r>
        <w:rPr>
          <w:rFonts w:ascii="Times New Roman" w:eastAsia="Times New Roman" w:hAnsi="Times New Roman" w:cs="Times New Roman"/>
          <w:sz w:val="24"/>
        </w:rPr>
        <w:t xml:space="preserve">s poverty was the root of its virtue: </w:t>
      </w:r>
      <w:r w:rsidR="009A1741">
        <w:rPr>
          <w:rFonts w:ascii="Times New Roman" w:eastAsia="Times New Roman" w:hAnsi="Times New Roman" w:cs="Times New Roman"/>
          <w:sz w:val="24"/>
        </w:rPr>
        <w:t>“</w:t>
      </w:r>
      <w:r>
        <w:rPr>
          <w:rFonts w:ascii="Times New Roman" w:eastAsia="Times New Roman" w:hAnsi="Times New Roman" w:cs="Times New Roman"/>
          <w:sz w:val="24"/>
          <w:highlight w:val="white"/>
        </w:rPr>
        <w:t>When, in the earlier periods of their history, these banditti ravaged and carried off their neighbors</w:t>
      </w:r>
      <w:r w:rsidR="00F11556">
        <w:rPr>
          <w:rFonts w:ascii="Times New Roman" w:eastAsia="Times New Roman" w:hAnsi="Times New Roman" w:cs="Times New Roman"/>
          <w:sz w:val="24"/>
          <w:highlight w:val="white"/>
        </w:rPr>
        <w:t xml:space="preserve">’ </w:t>
      </w:r>
      <w:r>
        <w:rPr>
          <w:rFonts w:ascii="Times New Roman" w:eastAsia="Times New Roman" w:hAnsi="Times New Roman" w:cs="Times New Roman"/>
          <w:sz w:val="24"/>
          <w:highlight w:val="white"/>
        </w:rPr>
        <w:t>harvests; when, in order to augment their own wretched village, they destroyed the poor villages of the Volsci and Samnites, they were, we are told, men disinterested and virtuous</w:t>
      </w:r>
      <w:r w:rsidR="009A1741">
        <w:rPr>
          <w:rFonts w:ascii="Times New Roman" w:eastAsia="Times New Roman" w:hAnsi="Times New Roman" w:cs="Times New Roman"/>
          <w:sz w:val="24"/>
          <w:highlight w:val="white"/>
        </w:rPr>
        <w:t>.”</w:t>
      </w:r>
      <w:r>
        <w:rPr>
          <w:rFonts w:ascii="Times New Roman" w:eastAsia="Times New Roman" w:hAnsi="Times New Roman" w:cs="Times New Roman"/>
          <w:sz w:val="24"/>
          <w:highlight w:val="white"/>
        </w:rPr>
        <w:t xml:space="preserve"> In fact, he continued, Romans only attained real civilization with the growth of </w:t>
      </w:r>
      <w:r w:rsidR="0065375F">
        <w:rPr>
          <w:rFonts w:ascii="Times New Roman" w:eastAsia="Times New Roman" w:hAnsi="Times New Roman" w:cs="Times New Roman"/>
          <w:sz w:val="24"/>
          <w:highlight w:val="white"/>
        </w:rPr>
        <w:t>their</w:t>
      </w:r>
      <w:r>
        <w:rPr>
          <w:rFonts w:ascii="Times New Roman" w:eastAsia="Times New Roman" w:hAnsi="Times New Roman" w:cs="Times New Roman"/>
          <w:sz w:val="24"/>
          <w:highlight w:val="white"/>
        </w:rPr>
        <w:t xml:space="preserve"> wealth and luxury, precisely the point at which Rousseau held them to have degenerated: </w:t>
      </w:r>
      <w:r w:rsidR="009A1741">
        <w:rPr>
          <w:rFonts w:ascii="Times New Roman" w:eastAsia="Times New Roman" w:hAnsi="Times New Roman" w:cs="Times New Roman"/>
          <w:sz w:val="24"/>
          <w:highlight w:val="white"/>
        </w:rPr>
        <w:t>“</w:t>
      </w:r>
      <w:r>
        <w:rPr>
          <w:rFonts w:ascii="Times New Roman" w:eastAsia="Times New Roman" w:hAnsi="Times New Roman" w:cs="Times New Roman"/>
          <w:sz w:val="24"/>
          <w:highlight w:val="white"/>
        </w:rPr>
        <w:t>When, by a succession of violences, they had pillaged and robbed every country from the recesses of the Adriatic to the Euphrates, and had sense enough to enjoy the fruit of their rapine; when they cultivated the arts, and tasted all the pleasures of life, and communicated them also to the nations which they conquered; then, we are told, they ceased to be wise and good</w:t>
      </w:r>
      <w:r w:rsidR="009A1741">
        <w:rPr>
          <w:rFonts w:ascii="Times New Roman" w:eastAsia="Times New Roman" w:hAnsi="Times New Roman" w:cs="Times New Roman"/>
          <w:sz w:val="24"/>
          <w:highlight w:val="white"/>
        </w:rPr>
        <w:t>.”</w:t>
      </w:r>
      <w:r>
        <w:rPr>
          <w:rFonts w:ascii="Times New Roman" w:eastAsia="Times New Roman" w:hAnsi="Times New Roman" w:cs="Times New Roman"/>
          <w:sz w:val="24"/>
          <w:highlight w:val="white"/>
          <w:vertAlign w:val="superscript"/>
        </w:rPr>
        <w:footnoteReference w:id="84"/>
      </w:r>
      <w:r>
        <w:rPr>
          <w:rFonts w:ascii="Times New Roman" w:eastAsia="Times New Roman" w:hAnsi="Times New Roman" w:cs="Times New Roman"/>
          <w:sz w:val="24"/>
          <w:highlight w:val="white"/>
        </w:rPr>
        <w:t xml:space="preserve"> There are two subversive notions here. First, Voltaire stripped away the idealizing gloss that obscured the </w:t>
      </w:r>
      <w:r w:rsidR="009A1741">
        <w:rPr>
          <w:rFonts w:ascii="Times New Roman" w:eastAsia="Times New Roman" w:hAnsi="Times New Roman" w:cs="Times New Roman"/>
          <w:sz w:val="24"/>
          <w:highlight w:val="white"/>
        </w:rPr>
        <w:t>“</w:t>
      </w:r>
      <w:r>
        <w:rPr>
          <w:rFonts w:ascii="Times New Roman" w:eastAsia="Times New Roman" w:hAnsi="Times New Roman" w:cs="Times New Roman"/>
          <w:sz w:val="24"/>
          <w:highlight w:val="white"/>
        </w:rPr>
        <w:t>wretched</w:t>
      </w:r>
      <w:r w:rsidR="009A1741">
        <w:rPr>
          <w:rFonts w:ascii="Times New Roman" w:eastAsia="Times New Roman" w:hAnsi="Times New Roman" w:cs="Times New Roman"/>
          <w:sz w:val="24"/>
          <w:highlight w:val="white"/>
        </w:rPr>
        <w:t>,”</w:t>
      </w:r>
      <w:r>
        <w:rPr>
          <w:rFonts w:ascii="Times New Roman" w:eastAsia="Times New Roman" w:hAnsi="Times New Roman" w:cs="Times New Roman"/>
          <w:sz w:val="24"/>
          <w:highlight w:val="white"/>
        </w:rPr>
        <w:t xml:space="preserve"> rapacious nature of early Rome</w:t>
      </w:r>
      <w:r w:rsidR="000004E7">
        <w:rPr>
          <w:rFonts w:ascii="Times New Roman" w:eastAsia="Times New Roman" w:hAnsi="Times New Roman" w:cs="Times New Roman"/>
          <w:sz w:val="24"/>
          <w:highlight w:val="white"/>
        </w:rPr>
        <w:t>.</w:t>
      </w:r>
      <w:r w:rsidR="00045777">
        <w:rPr>
          <w:rStyle w:val="FootnoteReference"/>
          <w:rFonts w:ascii="Times New Roman" w:eastAsia="Times New Roman" w:hAnsi="Times New Roman" w:cs="Times New Roman"/>
          <w:sz w:val="24"/>
          <w:highlight w:val="white"/>
        </w:rPr>
        <w:footnoteReference w:id="85"/>
      </w:r>
      <w:r w:rsidR="000004E7">
        <w:rPr>
          <w:rFonts w:ascii="Times New Roman" w:eastAsia="Times New Roman" w:hAnsi="Times New Roman" w:cs="Times New Roman"/>
          <w:sz w:val="24"/>
          <w:highlight w:val="white"/>
        </w:rPr>
        <w:t xml:space="preserve"> S</w:t>
      </w:r>
      <w:r>
        <w:rPr>
          <w:rFonts w:ascii="Times New Roman" w:eastAsia="Times New Roman" w:hAnsi="Times New Roman" w:cs="Times New Roman"/>
          <w:sz w:val="24"/>
          <w:highlight w:val="white"/>
        </w:rPr>
        <w:t>econd, he implied that the Romans were no different in the frugal and decadent periods of their history, but equally ravenous for plunder in both. Contrary to Rousseau and Ferguson, the only benefit to be found in this compressed history of the classical world was the progress of commerce.</w:t>
      </w:r>
    </w:p>
    <w:p w14:paraId="75A4E223" w14:textId="70B7980B" w:rsidR="00266884" w:rsidRDefault="004D3EAE" w:rsidP="00411136">
      <w:pPr>
        <w:pStyle w:val="normal0"/>
        <w:spacing w:line="240" w:lineRule="auto"/>
        <w:contextualSpacing w:val="0"/>
        <w:rPr>
          <w:rFonts w:ascii="Times New Roman" w:eastAsia="Times New Roman" w:hAnsi="Times New Roman" w:cs="Times New Roman"/>
          <w:sz w:val="24"/>
        </w:rPr>
      </w:pPr>
      <w:r>
        <w:rPr>
          <w:rFonts w:ascii="Times New Roman" w:eastAsia="Times New Roman" w:hAnsi="Times New Roman" w:cs="Times New Roman"/>
          <w:sz w:val="24"/>
        </w:rPr>
        <w:tab/>
        <w:t xml:space="preserve">In this respect, </w:t>
      </w:r>
      <w:r w:rsidR="009A1741">
        <w:rPr>
          <w:rFonts w:ascii="Times New Roman" w:eastAsia="Times New Roman" w:hAnsi="Times New Roman" w:cs="Times New Roman"/>
          <w:sz w:val="24"/>
        </w:rPr>
        <w:t>Voltaire’s</w:t>
      </w:r>
      <w:r>
        <w:rPr>
          <w:rFonts w:ascii="Times New Roman" w:eastAsia="Times New Roman" w:hAnsi="Times New Roman" w:cs="Times New Roman"/>
          <w:sz w:val="24"/>
        </w:rPr>
        <w:t xml:space="preserve"> position on the ancients echoed his positions on usury and the spread of markets: it shifted depending on the presence of Jews. When the classical heritage was considered in opposition to Jews, it was to be strenuously defended; but when the ancient world was considered in opposition to </w:t>
      </w:r>
      <w:r w:rsidR="00667246">
        <w:rPr>
          <w:rFonts w:ascii="Times New Roman" w:eastAsia="Times New Roman" w:hAnsi="Times New Roman" w:cs="Times New Roman"/>
          <w:sz w:val="24"/>
        </w:rPr>
        <w:t>the commercial world</w:t>
      </w:r>
      <w:r>
        <w:rPr>
          <w:rFonts w:ascii="Times New Roman" w:eastAsia="Times New Roman" w:hAnsi="Times New Roman" w:cs="Times New Roman"/>
          <w:sz w:val="24"/>
        </w:rPr>
        <w:t xml:space="preserve">, it could be denigrated much more freely. Still, the claim that Voltaire used anti-Semitism to isolate the controversial qualities of commerce is at its most tenuous here: Voltaire saw Jewish culture and particularism as the enemies of classical virtue, not simply Jewish commerce. </w:t>
      </w:r>
      <w:r w:rsidR="009A1741">
        <w:rPr>
          <w:rFonts w:ascii="Times New Roman" w:eastAsia="Times New Roman" w:hAnsi="Times New Roman" w:cs="Times New Roman"/>
          <w:sz w:val="24"/>
        </w:rPr>
        <w:t>Voltaire’s</w:t>
      </w:r>
      <w:r>
        <w:rPr>
          <w:rFonts w:ascii="Times New Roman" w:eastAsia="Times New Roman" w:hAnsi="Times New Roman" w:cs="Times New Roman"/>
          <w:sz w:val="24"/>
        </w:rPr>
        <w:t xml:space="preserve"> treatment of the ancients and the Jews is, nevertheless, worth our attention in this context. To those who attacked usury, Voltaire replied that the true problem was Jewish usury; to those who attacked commercial calculation and commodification, Voltaire replied that the true problem was Jewish calculation; and to those who </w:t>
      </w:r>
      <w:r w:rsidR="003A2461">
        <w:rPr>
          <w:rFonts w:ascii="Times New Roman" w:eastAsia="Times New Roman" w:hAnsi="Times New Roman" w:cs="Times New Roman"/>
          <w:sz w:val="24"/>
        </w:rPr>
        <w:t>considered</w:t>
      </w:r>
      <w:r>
        <w:rPr>
          <w:rFonts w:ascii="Times New Roman" w:eastAsia="Times New Roman" w:hAnsi="Times New Roman" w:cs="Times New Roman"/>
          <w:sz w:val="24"/>
        </w:rPr>
        <w:t xml:space="preserve"> the ancient, republican virtues </w:t>
      </w:r>
      <w:r w:rsidR="003A2461">
        <w:rPr>
          <w:rFonts w:ascii="Times New Roman" w:eastAsia="Times New Roman" w:hAnsi="Times New Roman" w:cs="Times New Roman"/>
          <w:sz w:val="24"/>
        </w:rPr>
        <w:t xml:space="preserve">to be in </w:t>
      </w:r>
      <w:r>
        <w:rPr>
          <w:rFonts w:ascii="Times New Roman" w:eastAsia="Times New Roman" w:hAnsi="Times New Roman" w:cs="Times New Roman"/>
          <w:sz w:val="24"/>
        </w:rPr>
        <w:t>danger from commerce, Voltaire suggested that their attention would be more profitably turned to</w:t>
      </w:r>
      <w:r w:rsidR="003A2461">
        <w:rPr>
          <w:rFonts w:ascii="Times New Roman" w:eastAsia="Times New Roman" w:hAnsi="Times New Roman" w:cs="Times New Roman"/>
          <w:sz w:val="24"/>
        </w:rPr>
        <w:t>ward</w:t>
      </w:r>
      <w:r>
        <w:rPr>
          <w:rFonts w:ascii="Times New Roman" w:eastAsia="Times New Roman" w:hAnsi="Times New Roman" w:cs="Times New Roman"/>
          <w:sz w:val="24"/>
        </w:rPr>
        <w:t xml:space="preserve"> the danger from Jews. The pattern, to say the least, strains the benefit of the doubt</w:t>
      </w:r>
      <w:r w:rsidR="00266884">
        <w:rPr>
          <w:rFonts w:ascii="Times New Roman" w:eastAsia="Times New Roman" w:hAnsi="Times New Roman" w:cs="Times New Roman"/>
          <w:sz w:val="24"/>
        </w:rPr>
        <w:t>.</w:t>
      </w:r>
    </w:p>
    <w:p w14:paraId="30ED537D" w14:textId="59D603E3" w:rsidR="00266884" w:rsidRDefault="00266884" w:rsidP="00411136">
      <w:pPr>
        <w:pStyle w:val="NoSpacing"/>
        <w:rPr>
          <w:rFonts w:ascii="Times New Roman" w:hAnsi="Times New Roman" w:cs="Times New Roman"/>
        </w:rPr>
      </w:pPr>
      <w:r w:rsidRPr="00266884">
        <w:rPr>
          <w:rFonts w:ascii="Times New Roman" w:eastAsia="Times New Roman" w:hAnsi="Times New Roman" w:cs="Times New Roman"/>
        </w:rPr>
        <w:tab/>
      </w:r>
      <w:r w:rsidR="00463D02">
        <w:rPr>
          <w:rFonts w:ascii="Times New Roman" w:hAnsi="Times New Roman" w:cs="Times New Roman"/>
        </w:rPr>
        <w:t>However</w:t>
      </w:r>
      <w:r>
        <w:rPr>
          <w:rFonts w:ascii="Times New Roman" w:hAnsi="Times New Roman" w:cs="Times New Roman"/>
        </w:rPr>
        <w:t>, a</w:t>
      </w:r>
      <w:r w:rsidRPr="00266884">
        <w:rPr>
          <w:rFonts w:ascii="Times New Roman" w:hAnsi="Times New Roman" w:cs="Times New Roman"/>
        </w:rPr>
        <w:t xml:space="preserve"> skeptical response might be made at this point: I have shown that </w:t>
      </w:r>
      <w:r w:rsidR="009A1741">
        <w:rPr>
          <w:rFonts w:ascii="Times New Roman" w:hAnsi="Times New Roman" w:cs="Times New Roman"/>
        </w:rPr>
        <w:t>Voltaire’s</w:t>
      </w:r>
      <w:r w:rsidRPr="00266884">
        <w:rPr>
          <w:rFonts w:ascii="Times New Roman" w:hAnsi="Times New Roman" w:cs="Times New Roman"/>
        </w:rPr>
        <w:t xml:space="preserve"> strident defense of non-Jewish commercial practices coexisted with his condemnation of similar practices undertaken by Jews, but I have not proven a causal relationship between those facts. I have not, in other words, demonstrated that his </w:t>
      </w:r>
      <w:r w:rsidRPr="00266884">
        <w:rPr>
          <w:rFonts w:ascii="Times New Roman" w:hAnsi="Times New Roman" w:cs="Times New Roman"/>
        </w:rPr>
        <w:lastRenderedPageBreak/>
        <w:t>commercial anti-Semitism was a deliberate argumentative choice. That objec</w:t>
      </w:r>
      <w:r w:rsidR="0065375F">
        <w:rPr>
          <w:rFonts w:ascii="Times New Roman" w:hAnsi="Times New Roman" w:cs="Times New Roman"/>
        </w:rPr>
        <w:t xml:space="preserve">tion is fair as far as it goes, given the notorious difficulty of placing the intentions of historical figures on </w:t>
      </w:r>
      <w:r w:rsidRPr="00266884">
        <w:rPr>
          <w:rFonts w:ascii="Times New Roman" w:hAnsi="Times New Roman" w:cs="Times New Roman"/>
        </w:rPr>
        <w:t xml:space="preserve">solid footing. Yet it is a point in favor of the plausibility of my account that it depends on the existence of a complex pattern (public criticism of a commercial practice, accompanied both by </w:t>
      </w:r>
      <w:r w:rsidR="009A1741">
        <w:rPr>
          <w:rFonts w:ascii="Times New Roman" w:hAnsi="Times New Roman" w:cs="Times New Roman"/>
        </w:rPr>
        <w:t>Voltaire’s</w:t>
      </w:r>
      <w:r w:rsidRPr="00266884">
        <w:rPr>
          <w:rFonts w:ascii="Times New Roman" w:hAnsi="Times New Roman" w:cs="Times New Roman"/>
        </w:rPr>
        <w:t xml:space="preserve"> defense of the practice in non-Jews and condemnation of the practice in Jews) at multiple points of </w:t>
      </w:r>
      <w:r w:rsidR="009A1741">
        <w:rPr>
          <w:rFonts w:ascii="Times New Roman" w:hAnsi="Times New Roman" w:cs="Times New Roman"/>
        </w:rPr>
        <w:t>Voltaire’s</w:t>
      </w:r>
      <w:r w:rsidRPr="00266884">
        <w:rPr>
          <w:rFonts w:ascii="Times New Roman" w:hAnsi="Times New Roman" w:cs="Times New Roman"/>
        </w:rPr>
        <w:t xml:space="preserve"> philosophical career, across a wide range of topics.</w:t>
      </w:r>
    </w:p>
    <w:p w14:paraId="0C343849" w14:textId="33A063A2" w:rsidR="00266884" w:rsidRPr="00266884" w:rsidRDefault="00266884" w:rsidP="00411136">
      <w:pPr>
        <w:pStyle w:val="NoSpacing"/>
        <w:ind w:firstLine="720"/>
        <w:rPr>
          <w:rFonts w:ascii="Times New Roman" w:hAnsi="Times New Roman" w:cs="Times New Roman"/>
        </w:rPr>
      </w:pPr>
      <w:r w:rsidRPr="00266884">
        <w:rPr>
          <w:rFonts w:ascii="Times New Roman" w:hAnsi="Times New Roman" w:cs="Times New Roman"/>
        </w:rPr>
        <w:t xml:space="preserve">The skeptic might renew the objection, however, by asking us to consider a counterfactual Voltaire: one who, say, defended usury </w:t>
      </w:r>
      <w:r w:rsidRPr="00266884">
        <w:rPr>
          <w:rFonts w:ascii="Times New Roman" w:hAnsi="Times New Roman" w:cs="Times New Roman"/>
          <w:i/>
        </w:rPr>
        <w:t>and</w:t>
      </w:r>
      <w:r w:rsidRPr="00266884">
        <w:rPr>
          <w:rFonts w:ascii="Times New Roman" w:hAnsi="Times New Roman" w:cs="Times New Roman"/>
        </w:rPr>
        <w:t xml:space="preserve"> celebrated Jews for promoting it. If Voltaire could have plausibly taken that set of positions, then the anti-Semitism of the actual Voltaire would likely have come from a different source than argumentative strategy. In response, I would deny that such a counterfactual was plausible. The criticisms of </w:t>
      </w:r>
      <w:r w:rsidR="003A2461">
        <w:rPr>
          <w:rFonts w:ascii="Times New Roman" w:hAnsi="Times New Roman" w:cs="Times New Roman"/>
        </w:rPr>
        <w:t>the market economy</w:t>
      </w:r>
      <w:r w:rsidRPr="00266884">
        <w:rPr>
          <w:rFonts w:ascii="Times New Roman" w:hAnsi="Times New Roman" w:cs="Times New Roman"/>
        </w:rPr>
        <w:t xml:space="preserve"> I have touched on were too widespread and impassioned to be dismissed out of hand; an advocate of commerce could displace its harms onto an </w:t>
      </w:r>
      <w:r w:rsidR="009A1741">
        <w:rPr>
          <w:rFonts w:ascii="Times New Roman" w:hAnsi="Times New Roman" w:cs="Times New Roman"/>
        </w:rPr>
        <w:t>“</w:t>
      </w:r>
      <w:r w:rsidRPr="00266884">
        <w:rPr>
          <w:rFonts w:ascii="Times New Roman" w:hAnsi="Times New Roman" w:cs="Times New Roman"/>
        </w:rPr>
        <w:t>other</w:t>
      </w:r>
      <w:r w:rsidR="009A1741">
        <w:rPr>
          <w:rFonts w:ascii="Times New Roman" w:hAnsi="Times New Roman" w:cs="Times New Roman"/>
        </w:rPr>
        <w:t>”</w:t>
      </w:r>
      <w:r w:rsidRPr="00266884">
        <w:rPr>
          <w:rFonts w:ascii="Times New Roman" w:hAnsi="Times New Roman" w:cs="Times New Roman"/>
        </w:rPr>
        <w:t xml:space="preserve"> (as Voltaire did) or argue that they were worth accepting in the balance (</w:t>
      </w:r>
      <w:r>
        <w:rPr>
          <w:rFonts w:ascii="Times New Roman" w:hAnsi="Times New Roman" w:cs="Times New Roman"/>
        </w:rPr>
        <w:t>which</w:t>
      </w:r>
      <w:r w:rsidR="00D7445A">
        <w:rPr>
          <w:rFonts w:ascii="Times New Roman" w:hAnsi="Times New Roman" w:cs="Times New Roman"/>
        </w:rPr>
        <w:t>, for instance,</w:t>
      </w:r>
      <w:r w:rsidRPr="00266884">
        <w:rPr>
          <w:rFonts w:ascii="Times New Roman" w:hAnsi="Times New Roman" w:cs="Times New Roman"/>
        </w:rPr>
        <w:t xml:space="preserve"> Montesquieu did), but would </w:t>
      </w:r>
      <w:r w:rsidR="003D0D9B">
        <w:rPr>
          <w:rFonts w:ascii="Times New Roman" w:hAnsi="Times New Roman" w:cs="Times New Roman"/>
        </w:rPr>
        <w:t>make limited</w:t>
      </w:r>
      <w:r w:rsidRPr="00266884">
        <w:rPr>
          <w:rFonts w:ascii="Times New Roman" w:hAnsi="Times New Roman" w:cs="Times New Roman"/>
        </w:rPr>
        <w:t xml:space="preserve"> rhetorical headway by denying that they were harms at all and venturing a complete endorsement of actually-existing commerce.</w:t>
      </w:r>
      <w:r w:rsidR="00F5296D">
        <w:rPr>
          <w:rStyle w:val="FootnoteReference"/>
          <w:rFonts w:ascii="Times New Roman" w:hAnsi="Times New Roman" w:cs="Times New Roman"/>
        </w:rPr>
        <w:footnoteReference w:id="86"/>
      </w:r>
      <w:r w:rsidRPr="00266884">
        <w:rPr>
          <w:rFonts w:ascii="Times New Roman" w:hAnsi="Times New Roman" w:cs="Times New Roman"/>
        </w:rPr>
        <w:t xml:space="preserve"> I would posit that the harms of com</w:t>
      </w:r>
      <w:r w:rsidR="00584134">
        <w:rPr>
          <w:rFonts w:ascii="Times New Roman" w:hAnsi="Times New Roman" w:cs="Times New Roman"/>
        </w:rPr>
        <w:t>merce identified by its critics proved very difficult to strike from the equation</w:t>
      </w:r>
      <w:r w:rsidRPr="00266884">
        <w:rPr>
          <w:rFonts w:ascii="Times New Roman" w:hAnsi="Times New Roman" w:cs="Times New Roman"/>
        </w:rPr>
        <w:t xml:space="preserve">—they had to be accounted for somewhere. For Voltaire, then, the </w:t>
      </w:r>
      <w:r w:rsidRPr="00266884">
        <w:rPr>
          <w:rFonts w:ascii="Times New Roman" w:hAnsi="Times New Roman" w:cs="Times New Roman"/>
          <w:i/>
        </w:rPr>
        <w:t>persuasive</w:t>
      </w:r>
      <w:r w:rsidRPr="00266884">
        <w:rPr>
          <w:rFonts w:ascii="Times New Roman" w:hAnsi="Times New Roman" w:cs="Times New Roman"/>
        </w:rPr>
        <w:t xml:space="preserve"> alternative to an uncharacteristically equivocal stance was scapegoating the commercial practices of an out-group. To paraphrase his own words, if the Jews did not exist, he would have had to invent them.</w:t>
      </w:r>
    </w:p>
    <w:p w14:paraId="3800748E" w14:textId="77777777" w:rsidR="002F566E" w:rsidRDefault="002F566E" w:rsidP="00411136">
      <w:pPr>
        <w:pStyle w:val="normal0"/>
        <w:spacing w:line="240" w:lineRule="auto"/>
        <w:contextualSpacing w:val="0"/>
      </w:pPr>
    </w:p>
    <w:p w14:paraId="04843C23" w14:textId="17245636" w:rsidR="002F566E" w:rsidRDefault="009A1741" w:rsidP="00411136">
      <w:pPr>
        <w:pStyle w:val="normal0"/>
        <w:spacing w:line="240" w:lineRule="auto"/>
        <w:contextualSpacing w:val="0"/>
      </w:pPr>
      <w:r>
        <w:rPr>
          <w:rFonts w:ascii="Times New Roman" w:eastAsia="Times New Roman" w:hAnsi="Times New Roman" w:cs="Times New Roman"/>
          <w:b/>
          <w:sz w:val="24"/>
        </w:rPr>
        <w:t>“</w:t>
      </w:r>
      <w:r w:rsidR="004D3EAE">
        <w:rPr>
          <w:rFonts w:ascii="Times New Roman" w:eastAsia="Times New Roman" w:hAnsi="Times New Roman" w:cs="Times New Roman"/>
          <w:b/>
          <w:sz w:val="24"/>
        </w:rPr>
        <w:t>Is This the Philosophy of Montesquieu?</w:t>
      </w:r>
      <w:r>
        <w:rPr>
          <w:rFonts w:ascii="Times New Roman" w:eastAsia="Times New Roman" w:hAnsi="Times New Roman" w:cs="Times New Roman"/>
          <w:b/>
          <w:sz w:val="24"/>
        </w:rPr>
        <w:t>”</w:t>
      </w:r>
    </w:p>
    <w:p w14:paraId="6003C84E" w14:textId="3621A535" w:rsidR="002F566E" w:rsidRDefault="004D3EAE" w:rsidP="00411136">
      <w:pPr>
        <w:pStyle w:val="normal0"/>
        <w:spacing w:line="240" w:lineRule="auto"/>
        <w:contextualSpacing w:val="0"/>
      </w:pPr>
      <w:r>
        <w:rPr>
          <w:rFonts w:ascii="Times New Roman" w:eastAsia="Times New Roman" w:hAnsi="Times New Roman" w:cs="Times New Roman"/>
          <w:sz w:val="24"/>
        </w:rPr>
        <w:t xml:space="preserve">Nor were all of </w:t>
      </w:r>
      <w:r w:rsidR="009A1741">
        <w:rPr>
          <w:rFonts w:ascii="Times New Roman" w:eastAsia="Times New Roman" w:hAnsi="Times New Roman" w:cs="Times New Roman"/>
          <w:sz w:val="24"/>
        </w:rPr>
        <w:t>Voltaire’s</w:t>
      </w:r>
      <w:r>
        <w:rPr>
          <w:rFonts w:ascii="Times New Roman" w:eastAsia="Times New Roman" w:hAnsi="Times New Roman" w:cs="Times New Roman"/>
          <w:sz w:val="24"/>
        </w:rPr>
        <w:t xml:space="preserve"> contemporaries willing to extend him the benefit of the doubt. In a series of open letters to Voltaire published in 1769, Guénée accused him of inconsistency with Enlightenment principles of tolerance: </w:t>
      </w:r>
      <w:r w:rsidR="009A1741">
        <w:rPr>
          <w:rFonts w:ascii="Times New Roman" w:eastAsia="Times New Roman" w:hAnsi="Times New Roman" w:cs="Times New Roman"/>
          <w:sz w:val="24"/>
        </w:rPr>
        <w:t>“</w:t>
      </w:r>
      <w:r>
        <w:rPr>
          <w:rFonts w:ascii="Times New Roman" w:eastAsia="Times New Roman" w:hAnsi="Times New Roman" w:cs="Times New Roman"/>
          <w:sz w:val="24"/>
        </w:rPr>
        <w:t>What kind of philosophy is this which, dominated by hatred and dedicated to the blindest prejudice, permits itself these outrageous attacks on a people, the descendants of whom already have more than enough about which to complain? Is this the philosophy of Montesquieu and Locke?</w:t>
      </w:r>
      <w:r w:rsidR="009A1741">
        <w:rPr>
          <w:rFonts w:ascii="Times New Roman" w:eastAsia="Times New Roman" w:hAnsi="Times New Roman" w:cs="Times New Roman"/>
          <w:sz w:val="24"/>
        </w:rPr>
        <w:t>”</w:t>
      </w:r>
      <w:r>
        <w:rPr>
          <w:rFonts w:ascii="Times New Roman" w:eastAsia="Times New Roman" w:hAnsi="Times New Roman" w:cs="Times New Roman"/>
          <w:sz w:val="24"/>
          <w:vertAlign w:val="superscript"/>
        </w:rPr>
        <w:footnoteReference w:id="87"/>
      </w:r>
    </w:p>
    <w:p w14:paraId="0C283E04" w14:textId="77777777" w:rsidR="002F566E" w:rsidRDefault="004D3EAE" w:rsidP="00411136">
      <w:pPr>
        <w:pStyle w:val="normal0"/>
        <w:spacing w:line="240" w:lineRule="auto"/>
        <w:ind w:firstLine="720"/>
        <w:contextualSpacing w:val="0"/>
      </w:pPr>
      <w:r>
        <w:rPr>
          <w:rFonts w:ascii="Times New Roman" w:eastAsia="Times New Roman" w:hAnsi="Times New Roman" w:cs="Times New Roman"/>
          <w:sz w:val="24"/>
        </w:rPr>
        <w:t xml:space="preserve">It was appropriate that Voltaire was censured in the name of Montesquieu. He was to Enlightenment philo-Semitism what Voltaire was to Enlightenment anti-Semitism—and, in </w:t>
      </w:r>
      <w:r>
        <w:rPr>
          <w:rFonts w:ascii="Times New Roman" w:eastAsia="Times New Roman" w:hAnsi="Times New Roman" w:cs="Times New Roman"/>
          <w:i/>
          <w:sz w:val="24"/>
        </w:rPr>
        <w:t>The Spirit of the Laws</w:t>
      </w:r>
      <w:r>
        <w:rPr>
          <w:rFonts w:ascii="Times New Roman" w:eastAsia="Times New Roman" w:hAnsi="Times New Roman" w:cs="Times New Roman"/>
          <w:sz w:val="24"/>
        </w:rPr>
        <w:t xml:space="preserve">, he developed a far more tolerant attitude toward Jews in the course of grappling with the same commercial controversies that so </w:t>
      </w:r>
      <w:r>
        <w:rPr>
          <w:rFonts w:ascii="Times New Roman" w:eastAsia="Times New Roman" w:hAnsi="Times New Roman" w:cs="Times New Roman"/>
          <w:sz w:val="24"/>
        </w:rPr>
        <w:lastRenderedPageBreak/>
        <w:t>exercised Voltaire.</w:t>
      </w:r>
    </w:p>
    <w:p w14:paraId="33438883" w14:textId="594A7EBF" w:rsidR="00A241C8" w:rsidRDefault="004D3EAE" w:rsidP="00411136">
      <w:pPr>
        <w:pStyle w:val="normal0"/>
        <w:spacing w:line="240" w:lineRule="auto"/>
        <w:ind w:firstLine="720"/>
        <w:contextualSpacing w:val="0"/>
        <w:rPr>
          <w:rFonts w:ascii="Times New Roman" w:eastAsia="Times New Roman" w:hAnsi="Times New Roman" w:cs="Times New Roman"/>
          <w:sz w:val="24"/>
        </w:rPr>
      </w:pPr>
      <w:r>
        <w:rPr>
          <w:rFonts w:ascii="Times New Roman" w:eastAsia="Times New Roman" w:hAnsi="Times New Roman" w:cs="Times New Roman"/>
          <w:sz w:val="24"/>
        </w:rPr>
        <w:t xml:space="preserve">A passage especially worth our attention is </w:t>
      </w:r>
      <w:r w:rsidR="009A1741">
        <w:rPr>
          <w:rFonts w:ascii="Times New Roman" w:eastAsia="Times New Roman" w:hAnsi="Times New Roman" w:cs="Times New Roman"/>
          <w:sz w:val="24"/>
        </w:rPr>
        <w:t>Montesquieu’s</w:t>
      </w:r>
      <w:r>
        <w:rPr>
          <w:rFonts w:ascii="Times New Roman" w:eastAsia="Times New Roman" w:hAnsi="Times New Roman" w:cs="Times New Roman"/>
          <w:sz w:val="24"/>
        </w:rPr>
        <w:t xml:space="preserve"> discussion of the Jewish role in the development of letters of exchange. Voltaire, as we noted, cited this passage without comment in the midst of denunciations of Jewish usury; </w:t>
      </w:r>
      <w:r w:rsidR="009A1741">
        <w:rPr>
          <w:rFonts w:ascii="Times New Roman" w:eastAsia="Times New Roman" w:hAnsi="Times New Roman" w:cs="Times New Roman"/>
          <w:sz w:val="24"/>
        </w:rPr>
        <w:t>Montesquieu’s</w:t>
      </w:r>
      <w:r>
        <w:rPr>
          <w:rFonts w:ascii="Times New Roman" w:eastAsia="Times New Roman" w:hAnsi="Times New Roman" w:cs="Times New Roman"/>
          <w:sz w:val="24"/>
        </w:rPr>
        <w:t xml:space="preserve"> tre</w:t>
      </w:r>
      <w:r w:rsidR="00190BD8">
        <w:rPr>
          <w:rFonts w:ascii="Times New Roman" w:eastAsia="Times New Roman" w:hAnsi="Times New Roman" w:cs="Times New Roman"/>
          <w:sz w:val="24"/>
        </w:rPr>
        <w:t xml:space="preserve">atment was much more laudatory. </w:t>
      </w:r>
      <w:r w:rsidR="00D86BB4">
        <w:rPr>
          <w:rFonts w:ascii="Times New Roman" w:eastAsia="Times New Roman" w:hAnsi="Times New Roman" w:cs="Times New Roman"/>
          <w:sz w:val="24"/>
        </w:rPr>
        <w:t xml:space="preserve">Even though the historical Jewish role in this development was, in point of fact, exaggerated—Francesca Trivellato characterizes it as a </w:t>
      </w:r>
      <w:r w:rsidR="009A1741">
        <w:rPr>
          <w:rFonts w:ascii="Times New Roman" w:eastAsia="Times New Roman" w:hAnsi="Times New Roman" w:cs="Times New Roman"/>
          <w:sz w:val="24"/>
        </w:rPr>
        <w:t>“</w:t>
      </w:r>
      <w:r w:rsidR="00D86BB4">
        <w:rPr>
          <w:rFonts w:ascii="Times New Roman" w:eastAsia="Times New Roman" w:hAnsi="Times New Roman" w:cs="Times New Roman"/>
          <w:sz w:val="24"/>
        </w:rPr>
        <w:t>legend</w:t>
      </w:r>
      <w:r w:rsidR="009A1741">
        <w:rPr>
          <w:rFonts w:ascii="Times New Roman" w:eastAsia="Times New Roman" w:hAnsi="Times New Roman" w:cs="Times New Roman"/>
          <w:sz w:val="24"/>
        </w:rPr>
        <w:t>”</w:t>
      </w:r>
      <w:r w:rsidR="00D86BB4">
        <w:rPr>
          <w:rFonts w:ascii="Times New Roman" w:eastAsia="Times New Roman" w:hAnsi="Times New Roman" w:cs="Times New Roman"/>
          <w:sz w:val="24"/>
        </w:rPr>
        <w:t xml:space="preserve">—Montesquieu </w:t>
      </w:r>
      <w:r w:rsidR="009A1741">
        <w:rPr>
          <w:rFonts w:ascii="Times New Roman" w:eastAsia="Times New Roman" w:hAnsi="Times New Roman" w:cs="Times New Roman"/>
          <w:sz w:val="24"/>
        </w:rPr>
        <w:t>“</w:t>
      </w:r>
      <w:r w:rsidR="00D86BB4">
        <w:rPr>
          <w:rFonts w:ascii="Times New Roman" w:eastAsia="Times New Roman" w:hAnsi="Times New Roman" w:cs="Times New Roman"/>
          <w:sz w:val="24"/>
        </w:rPr>
        <w:t>stands out for both embracing the legend and interpreting it as casting Jews in a positive light</w:t>
      </w:r>
      <w:r w:rsidR="009A1741">
        <w:rPr>
          <w:rFonts w:ascii="Times New Roman" w:eastAsia="Times New Roman" w:hAnsi="Times New Roman" w:cs="Times New Roman"/>
          <w:sz w:val="24"/>
        </w:rPr>
        <w:t>.”</w:t>
      </w:r>
      <w:r w:rsidR="00D86BB4">
        <w:rPr>
          <w:rStyle w:val="FootnoteReference"/>
          <w:rFonts w:ascii="Times New Roman" w:eastAsia="Times New Roman" w:hAnsi="Times New Roman" w:cs="Times New Roman"/>
          <w:sz w:val="24"/>
        </w:rPr>
        <w:footnoteReference w:id="88"/>
      </w:r>
    </w:p>
    <w:p w14:paraId="7EDFE595" w14:textId="15FF6370" w:rsidR="002F566E" w:rsidRPr="00D86BB4" w:rsidRDefault="004D3EAE" w:rsidP="00411136">
      <w:pPr>
        <w:pStyle w:val="normal0"/>
        <w:spacing w:line="240" w:lineRule="auto"/>
        <w:ind w:firstLine="720"/>
        <w:contextualSpacing w:val="0"/>
        <w:rPr>
          <w:rFonts w:ascii="Times New Roman" w:eastAsia="Times New Roman" w:hAnsi="Times New Roman" w:cs="Times New Roman"/>
          <w:sz w:val="24"/>
        </w:rPr>
      </w:pPr>
      <w:r>
        <w:rPr>
          <w:rFonts w:ascii="Times New Roman" w:eastAsia="Times New Roman" w:hAnsi="Times New Roman" w:cs="Times New Roman"/>
          <w:sz w:val="24"/>
        </w:rPr>
        <w:t xml:space="preserve">Jews entered </w:t>
      </w:r>
      <w:r w:rsidR="009A1741">
        <w:rPr>
          <w:rFonts w:ascii="Times New Roman" w:eastAsia="Times New Roman" w:hAnsi="Times New Roman" w:cs="Times New Roman"/>
          <w:sz w:val="24"/>
        </w:rPr>
        <w:t>Montesquieu’s</w:t>
      </w:r>
      <w:r>
        <w:rPr>
          <w:rFonts w:ascii="Times New Roman" w:eastAsia="Times New Roman" w:hAnsi="Times New Roman" w:cs="Times New Roman"/>
          <w:sz w:val="24"/>
        </w:rPr>
        <w:t xml:space="preserve"> history of commerce </w:t>
      </w:r>
      <w:r>
        <w:rPr>
          <w:rFonts w:ascii="Times New Roman" w:eastAsia="Times New Roman" w:hAnsi="Times New Roman" w:cs="Times New Roman"/>
          <w:i/>
          <w:sz w:val="24"/>
        </w:rPr>
        <w:t>as a result</w:t>
      </w:r>
      <w:r>
        <w:rPr>
          <w:rFonts w:ascii="Times New Roman" w:eastAsia="Times New Roman" w:hAnsi="Times New Roman" w:cs="Times New Roman"/>
          <w:sz w:val="24"/>
        </w:rPr>
        <w:t xml:space="preserve"> of medieval anti-usury laws, not because they were congenital usurers: finance, </w:t>
      </w:r>
      <w:r w:rsidR="00A64C7E">
        <w:rPr>
          <w:rFonts w:ascii="Times New Roman" w:eastAsia="Times New Roman" w:hAnsi="Times New Roman" w:cs="Times New Roman"/>
          <w:sz w:val="24"/>
        </w:rPr>
        <w:t xml:space="preserve">due to </w:t>
      </w:r>
      <w:r>
        <w:rPr>
          <w:rFonts w:ascii="Times New Roman" w:eastAsia="Times New Roman" w:hAnsi="Times New Roman" w:cs="Times New Roman"/>
          <w:sz w:val="24"/>
        </w:rPr>
        <w:t xml:space="preserve">its bad reputation, </w:t>
      </w:r>
      <w:r w:rsidR="009A1741">
        <w:rPr>
          <w:rFonts w:ascii="Times New Roman" w:eastAsia="Times New Roman" w:hAnsi="Times New Roman" w:cs="Times New Roman"/>
          <w:sz w:val="24"/>
        </w:rPr>
        <w:t>“</w:t>
      </w:r>
      <w:r>
        <w:rPr>
          <w:rFonts w:ascii="Times New Roman" w:eastAsia="Times New Roman" w:hAnsi="Times New Roman" w:cs="Times New Roman"/>
          <w:sz w:val="24"/>
        </w:rPr>
        <w:t>passed to a nation then covered with infamy</w:t>
      </w:r>
      <w:r w:rsidR="009A1741">
        <w:rPr>
          <w:rFonts w:ascii="Times New Roman" w:eastAsia="Times New Roman" w:hAnsi="Times New Roman" w:cs="Times New Roman"/>
          <w:sz w:val="24"/>
        </w:rPr>
        <w:t>.”</w:t>
      </w:r>
      <w:r>
        <w:rPr>
          <w:rFonts w:ascii="Times New Roman" w:eastAsia="Times New Roman" w:hAnsi="Times New Roman" w:cs="Times New Roman"/>
          <w:sz w:val="24"/>
        </w:rPr>
        <w:t xml:space="preserve"> If Jews turned </w:t>
      </w:r>
      <w:r w:rsidR="009A1741">
        <w:rPr>
          <w:rFonts w:ascii="Times New Roman" w:eastAsia="Times New Roman" w:hAnsi="Times New Roman" w:cs="Times New Roman"/>
          <w:sz w:val="24"/>
        </w:rPr>
        <w:t>“</w:t>
      </w:r>
      <w:r>
        <w:rPr>
          <w:rFonts w:ascii="Times New Roman" w:eastAsia="Times New Roman" w:hAnsi="Times New Roman" w:cs="Times New Roman"/>
          <w:sz w:val="24"/>
        </w:rPr>
        <w:t>dishonest</w:t>
      </w:r>
      <w:r w:rsidR="009A1741">
        <w:rPr>
          <w:rFonts w:ascii="Times New Roman" w:eastAsia="Times New Roman" w:hAnsi="Times New Roman" w:cs="Times New Roman"/>
          <w:sz w:val="24"/>
        </w:rPr>
        <w:t>”</w:t>
      </w:r>
      <w:r>
        <w:rPr>
          <w:rFonts w:ascii="Times New Roman" w:eastAsia="Times New Roman" w:hAnsi="Times New Roman" w:cs="Times New Roman"/>
          <w:sz w:val="24"/>
        </w:rPr>
        <w:t xml:space="preserve"> through medieval commerce, it was because they were forced into a disreputable economic niche, not because they were deceitful by nature. In the next step of </w:t>
      </w:r>
      <w:r w:rsidR="009A1741">
        <w:rPr>
          <w:rFonts w:ascii="Times New Roman" w:eastAsia="Times New Roman" w:hAnsi="Times New Roman" w:cs="Times New Roman"/>
          <w:sz w:val="24"/>
        </w:rPr>
        <w:t>Montesquieu’s</w:t>
      </w:r>
      <w:r>
        <w:rPr>
          <w:rFonts w:ascii="Times New Roman" w:eastAsia="Times New Roman" w:hAnsi="Times New Roman" w:cs="Times New Roman"/>
          <w:sz w:val="24"/>
        </w:rPr>
        <w:t xml:space="preserve"> history, newly enriched Jews were targeted for intensified persecution—not, contra Voltaire, because their tribalism naturally offended good Europeans, but simply as part of sovereigns</w:t>
      </w:r>
      <w:r w:rsidR="00EB4910">
        <w:rPr>
          <w:rFonts w:ascii="Times New Roman" w:eastAsia="Times New Roman" w:hAnsi="Times New Roman" w:cs="Times New Roman"/>
          <w:sz w:val="24"/>
        </w:rPr>
        <w:t>’</w:t>
      </w:r>
      <w:r>
        <w:rPr>
          <w:rFonts w:ascii="Times New Roman" w:eastAsia="Times New Roman" w:hAnsi="Times New Roman" w:cs="Times New Roman"/>
          <w:sz w:val="24"/>
        </w:rPr>
        <w:t xml:space="preserve"> crude and shortsighted ploys for monetary gain. Finally, the Jewish invention of letters of exchange ended such appropriation, </w:t>
      </w:r>
      <w:r w:rsidR="009A1741">
        <w:rPr>
          <w:rFonts w:ascii="Times New Roman" w:eastAsia="Times New Roman" w:hAnsi="Times New Roman" w:cs="Times New Roman"/>
          <w:sz w:val="24"/>
        </w:rPr>
        <w:t>“</w:t>
      </w:r>
      <w:r>
        <w:rPr>
          <w:rFonts w:ascii="Times New Roman" w:eastAsia="Times New Roman" w:hAnsi="Times New Roman" w:cs="Times New Roman"/>
          <w:sz w:val="24"/>
        </w:rPr>
        <w:t>for the richest trader had only invisible goods</w:t>
      </w:r>
      <w:r w:rsidR="009A1741">
        <w:rPr>
          <w:rFonts w:ascii="Times New Roman" w:eastAsia="Times New Roman" w:hAnsi="Times New Roman" w:cs="Times New Roman"/>
          <w:sz w:val="24"/>
        </w:rPr>
        <w:t>.”</w:t>
      </w:r>
      <w:r>
        <w:rPr>
          <w:rFonts w:ascii="Times New Roman" w:eastAsia="Times New Roman" w:hAnsi="Times New Roman" w:cs="Times New Roman"/>
          <w:sz w:val="24"/>
        </w:rPr>
        <w:t xml:space="preserve"> For Montesquieu, this creation of </w:t>
      </w:r>
      <w:r w:rsidR="009A1741">
        <w:rPr>
          <w:rFonts w:ascii="Times New Roman" w:eastAsia="Times New Roman" w:hAnsi="Times New Roman" w:cs="Times New Roman"/>
          <w:sz w:val="24"/>
        </w:rPr>
        <w:t>“</w:t>
      </w:r>
      <w:r>
        <w:rPr>
          <w:rFonts w:ascii="Times New Roman" w:eastAsia="Times New Roman" w:hAnsi="Times New Roman" w:cs="Times New Roman"/>
          <w:sz w:val="24"/>
        </w:rPr>
        <w:t>invisible goods</w:t>
      </w:r>
      <w:r w:rsidR="009A1741">
        <w:rPr>
          <w:rFonts w:ascii="Times New Roman" w:eastAsia="Times New Roman" w:hAnsi="Times New Roman" w:cs="Times New Roman"/>
          <w:sz w:val="24"/>
        </w:rPr>
        <w:t>”</w:t>
      </w:r>
      <w:r>
        <w:rPr>
          <w:rFonts w:ascii="Times New Roman" w:eastAsia="Times New Roman" w:hAnsi="Times New Roman" w:cs="Times New Roman"/>
          <w:sz w:val="24"/>
        </w:rPr>
        <w:t xml:space="preserve"> had two epochal effects. First, the mobility of capital promoted moderate government: the new ease with which lenders could simply leave an oppressive state acted as a check on monarchs</w:t>
      </w:r>
      <w:r w:rsidR="00EB4910">
        <w:rPr>
          <w:rFonts w:ascii="Times New Roman" w:eastAsia="Times New Roman" w:hAnsi="Times New Roman" w:cs="Times New Roman"/>
          <w:sz w:val="24"/>
        </w:rPr>
        <w:t>’</w:t>
      </w:r>
      <w:r>
        <w:rPr>
          <w:rFonts w:ascii="Times New Roman" w:eastAsia="Times New Roman" w:hAnsi="Times New Roman" w:cs="Times New Roman"/>
          <w:sz w:val="24"/>
        </w:rPr>
        <w:t xml:space="preserve"> despotic tendencies. Second, once financiers no longer needed to resort to cunning to defend their goods and persons, </w:t>
      </w:r>
      <w:r w:rsidR="009A1741">
        <w:rPr>
          <w:rFonts w:ascii="Times New Roman" w:eastAsia="Times New Roman" w:hAnsi="Times New Roman" w:cs="Times New Roman"/>
          <w:sz w:val="24"/>
        </w:rPr>
        <w:t>“</w:t>
      </w:r>
      <w:r>
        <w:rPr>
          <w:rFonts w:ascii="Times New Roman" w:eastAsia="Times New Roman" w:hAnsi="Times New Roman" w:cs="Times New Roman"/>
          <w:sz w:val="24"/>
        </w:rPr>
        <w:t>commerce, which had been violently linked to bad faith, returned, so to speak, to the bosom of integrity</w:t>
      </w:r>
      <w:r w:rsidR="009A1741">
        <w:rPr>
          <w:rFonts w:ascii="Times New Roman" w:eastAsia="Times New Roman" w:hAnsi="Times New Roman" w:cs="Times New Roman"/>
          <w:sz w:val="24"/>
        </w:rPr>
        <w:t>.”</w:t>
      </w:r>
      <w:r>
        <w:rPr>
          <w:rFonts w:ascii="Times New Roman" w:eastAsia="Times New Roman" w:hAnsi="Times New Roman" w:cs="Times New Roman"/>
          <w:sz w:val="24"/>
          <w:vertAlign w:val="superscript"/>
        </w:rPr>
        <w:footnoteReference w:id="89"/>
      </w:r>
      <w:r>
        <w:rPr>
          <w:rFonts w:ascii="Times New Roman" w:eastAsia="Times New Roman" w:hAnsi="Times New Roman" w:cs="Times New Roman"/>
          <w:sz w:val="24"/>
        </w:rPr>
        <w:t xml:space="preserve"> Jewish dishonesty, then, was historically contingent rather than congenital (not the most enlightened position imaginable, but still quite tolerant for its time). And more importantly, Montesquieu described Jews reclaiming their honesty, and furthering the cause of political freedom, through a consequential act of creativity.</w:t>
      </w:r>
    </w:p>
    <w:p w14:paraId="6E7785EE" w14:textId="48D991CD" w:rsidR="002F566E" w:rsidRDefault="004D3EAE" w:rsidP="00411136">
      <w:pPr>
        <w:pStyle w:val="normal0"/>
        <w:spacing w:line="240" w:lineRule="auto"/>
        <w:ind w:firstLine="720"/>
        <w:contextualSpacing w:val="0"/>
      </w:pPr>
      <w:r>
        <w:rPr>
          <w:rFonts w:ascii="Times New Roman" w:eastAsia="Times New Roman" w:hAnsi="Times New Roman" w:cs="Times New Roman"/>
          <w:sz w:val="24"/>
        </w:rPr>
        <w:t xml:space="preserve">Throughout </w:t>
      </w:r>
      <w:r>
        <w:rPr>
          <w:rFonts w:ascii="Times New Roman" w:eastAsia="Times New Roman" w:hAnsi="Times New Roman" w:cs="Times New Roman"/>
          <w:i/>
          <w:sz w:val="24"/>
        </w:rPr>
        <w:t>The Spirit of the Laws</w:t>
      </w:r>
      <w:r>
        <w:rPr>
          <w:rFonts w:ascii="Times New Roman" w:eastAsia="Times New Roman" w:hAnsi="Times New Roman" w:cs="Times New Roman"/>
          <w:sz w:val="24"/>
        </w:rPr>
        <w:t xml:space="preserve">, Montesquieu offered similarly tolerant readings of historical data that Voltaire would interpret in a sinister light. While Voltaire often rationalized historical expulsions and persecutions, Montesquieu criticized them: for instance, Montesquieu singled out for censure medieval laws designed merely to humiliate Jews; in his own century, Russian persecution of Jewish lenders was an instance of </w:t>
      </w:r>
      <w:r w:rsidR="009A1741">
        <w:rPr>
          <w:rFonts w:ascii="Times New Roman" w:eastAsia="Times New Roman" w:hAnsi="Times New Roman" w:cs="Times New Roman"/>
          <w:sz w:val="24"/>
        </w:rPr>
        <w:t>“</w:t>
      </w:r>
      <w:r>
        <w:rPr>
          <w:rFonts w:ascii="Times New Roman" w:eastAsia="Times New Roman" w:hAnsi="Times New Roman" w:cs="Times New Roman"/>
          <w:sz w:val="24"/>
        </w:rPr>
        <w:t>despotism</w:t>
      </w:r>
      <w:r w:rsidR="009A1741">
        <w:rPr>
          <w:rFonts w:ascii="Times New Roman" w:eastAsia="Times New Roman" w:hAnsi="Times New Roman" w:cs="Times New Roman"/>
          <w:sz w:val="24"/>
        </w:rPr>
        <w:t>”</w:t>
      </w:r>
      <w:r>
        <w:rPr>
          <w:rFonts w:ascii="Times New Roman" w:eastAsia="Times New Roman" w:hAnsi="Times New Roman" w:cs="Times New Roman"/>
          <w:sz w:val="24"/>
        </w:rPr>
        <w:t xml:space="preserve"> and a failure to grasp the basic principles of finance.</w:t>
      </w:r>
      <w:r>
        <w:rPr>
          <w:rFonts w:ascii="Times New Roman" w:eastAsia="Times New Roman" w:hAnsi="Times New Roman" w:cs="Times New Roman"/>
          <w:sz w:val="24"/>
          <w:vertAlign w:val="superscript"/>
        </w:rPr>
        <w:footnoteReference w:id="90"/>
      </w:r>
      <w:r>
        <w:rPr>
          <w:rFonts w:ascii="Times New Roman" w:eastAsia="Times New Roman" w:hAnsi="Times New Roman" w:cs="Times New Roman"/>
          <w:sz w:val="24"/>
        </w:rPr>
        <w:t xml:space="preserve"> He took Jewish law at face value, insisting that its guiding purpose was religion, not </w:t>
      </w:r>
      <w:r w:rsidR="00330665">
        <w:rPr>
          <w:rFonts w:ascii="Times New Roman" w:eastAsia="Times New Roman" w:hAnsi="Times New Roman" w:cs="Times New Roman"/>
          <w:sz w:val="24"/>
        </w:rPr>
        <w:t>trade</w:t>
      </w:r>
      <w:r>
        <w:rPr>
          <w:rFonts w:ascii="Times New Roman" w:eastAsia="Times New Roman" w:hAnsi="Times New Roman" w:cs="Times New Roman"/>
          <w:sz w:val="24"/>
        </w:rPr>
        <w:t xml:space="preserve"> or usury.</w:t>
      </w:r>
      <w:r>
        <w:rPr>
          <w:rFonts w:ascii="Times New Roman" w:eastAsia="Times New Roman" w:hAnsi="Times New Roman" w:cs="Times New Roman"/>
          <w:sz w:val="24"/>
          <w:vertAlign w:val="superscript"/>
        </w:rPr>
        <w:footnoteReference w:id="91"/>
      </w:r>
      <w:r>
        <w:rPr>
          <w:rFonts w:ascii="Times New Roman" w:eastAsia="Times New Roman" w:hAnsi="Times New Roman" w:cs="Times New Roman"/>
          <w:sz w:val="24"/>
        </w:rPr>
        <w:t xml:space="preserve"> And he treated Old Testament cleanliness and leprosy laws as a sensible response to the Middle Eastern climate, not any Jewish propensity to disease.</w:t>
      </w:r>
      <w:r>
        <w:rPr>
          <w:rFonts w:ascii="Times New Roman" w:eastAsia="Times New Roman" w:hAnsi="Times New Roman" w:cs="Times New Roman"/>
          <w:sz w:val="24"/>
          <w:vertAlign w:val="superscript"/>
        </w:rPr>
        <w:footnoteReference w:id="92"/>
      </w:r>
      <w:r>
        <w:rPr>
          <w:rFonts w:ascii="Times New Roman" w:eastAsia="Times New Roman" w:hAnsi="Times New Roman" w:cs="Times New Roman"/>
          <w:sz w:val="24"/>
        </w:rPr>
        <w:t xml:space="preserve"> Voltaire and Montesquieu both </w:t>
      </w:r>
      <w:r w:rsidR="00DC0034">
        <w:rPr>
          <w:rFonts w:ascii="Times New Roman" w:eastAsia="Times New Roman" w:hAnsi="Times New Roman" w:cs="Times New Roman"/>
          <w:sz w:val="24"/>
        </w:rPr>
        <w:t xml:space="preserve">censured </w:t>
      </w:r>
      <w:r w:rsidR="00310743">
        <w:rPr>
          <w:rFonts w:ascii="Times New Roman" w:eastAsia="Times New Roman" w:hAnsi="Times New Roman" w:cs="Times New Roman"/>
          <w:sz w:val="24"/>
        </w:rPr>
        <w:t>violence against Jews</w:t>
      </w:r>
      <w:r>
        <w:rPr>
          <w:rFonts w:ascii="Times New Roman" w:eastAsia="Times New Roman" w:hAnsi="Times New Roman" w:cs="Times New Roman"/>
          <w:sz w:val="24"/>
        </w:rPr>
        <w:t xml:space="preserve">. But whereas </w:t>
      </w:r>
      <w:r w:rsidR="009A1741">
        <w:rPr>
          <w:rFonts w:ascii="Times New Roman" w:eastAsia="Times New Roman" w:hAnsi="Times New Roman" w:cs="Times New Roman"/>
          <w:sz w:val="24"/>
        </w:rPr>
        <w:t>Voltaire’s</w:t>
      </w:r>
      <w:r>
        <w:rPr>
          <w:rFonts w:ascii="Times New Roman" w:eastAsia="Times New Roman" w:hAnsi="Times New Roman" w:cs="Times New Roman"/>
          <w:sz w:val="24"/>
        </w:rPr>
        <w:t xml:space="preserve"> denunciations were hedged and equivocal, </w:t>
      </w:r>
      <w:r w:rsidR="009A1741">
        <w:rPr>
          <w:rFonts w:ascii="Times New Roman" w:eastAsia="Times New Roman" w:hAnsi="Times New Roman" w:cs="Times New Roman"/>
          <w:sz w:val="24"/>
        </w:rPr>
        <w:t>Montesquieu’s</w:t>
      </w:r>
      <w:r>
        <w:rPr>
          <w:rFonts w:ascii="Times New Roman" w:eastAsia="Times New Roman" w:hAnsi="Times New Roman" w:cs="Times New Roman"/>
          <w:sz w:val="24"/>
        </w:rPr>
        <w:t xml:space="preserve"> were full-throated: in years to come, Montesquieu warned his contemporaries, persecution of the Jews </w:t>
      </w:r>
      <w:r w:rsidR="009A1741">
        <w:rPr>
          <w:rFonts w:ascii="Times New Roman" w:eastAsia="Times New Roman" w:hAnsi="Times New Roman" w:cs="Times New Roman"/>
          <w:sz w:val="24"/>
        </w:rPr>
        <w:t>“</w:t>
      </w:r>
      <w:r>
        <w:rPr>
          <w:rFonts w:ascii="Times New Roman" w:eastAsia="Times New Roman" w:hAnsi="Times New Roman" w:cs="Times New Roman"/>
          <w:sz w:val="24"/>
        </w:rPr>
        <w:t>will be cited to prove that [you] were barbarians...will stigmatize your century</w:t>
      </w:r>
      <w:r w:rsidR="009A1741">
        <w:rPr>
          <w:rFonts w:ascii="Times New Roman" w:eastAsia="Times New Roman" w:hAnsi="Times New Roman" w:cs="Times New Roman"/>
          <w:sz w:val="24"/>
        </w:rPr>
        <w:t>.”</w:t>
      </w:r>
      <w:r>
        <w:rPr>
          <w:rFonts w:ascii="Times New Roman" w:eastAsia="Times New Roman" w:hAnsi="Times New Roman" w:cs="Times New Roman"/>
          <w:sz w:val="24"/>
          <w:vertAlign w:val="superscript"/>
        </w:rPr>
        <w:footnoteReference w:id="93"/>
      </w:r>
      <w:r>
        <w:rPr>
          <w:rFonts w:ascii="Times New Roman" w:eastAsia="Times New Roman" w:hAnsi="Times New Roman" w:cs="Times New Roman"/>
          <w:sz w:val="24"/>
        </w:rPr>
        <w:t xml:space="preserve"> Ages notes that </w:t>
      </w:r>
      <w:r>
        <w:rPr>
          <w:rFonts w:ascii="Times New Roman" w:eastAsia="Times New Roman" w:hAnsi="Times New Roman" w:cs="Times New Roman"/>
          <w:sz w:val="24"/>
        </w:rPr>
        <w:lastRenderedPageBreak/>
        <w:t>Montesquieu stood nearly alone in his day in his expansion of the notion of religious tolerance to include non-Christians, not just competing branches of Christianity.</w:t>
      </w:r>
      <w:r>
        <w:rPr>
          <w:rFonts w:ascii="Times New Roman" w:eastAsia="Times New Roman" w:hAnsi="Times New Roman" w:cs="Times New Roman"/>
          <w:sz w:val="24"/>
          <w:vertAlign w:val="superscript"/>
        </w:rPr>
        <w:footnoteReference w:id="94"/>
      </w:r>
    </w:p>
    <w:p w14:paraId="7A59DE96" w14:textId="67AB6013" w:rsidR="002F566E" w:rsidRPr="00125FC5" w:rsidRDefault="004D3EAE" w:rsidP="00411136">
      <w:pPr>
        <w:pStyle w:val="normal0"/>
        <w:spacing w:line="240" w:lineRule="auto"/>
        <w:contextualSpacing w:val="0"/>
        <w:rPr>
          <w:rFonts w:ascii="Times New Roman" w:eastAsia="Times New Roman" w:hAnsi="Times New Roman" w:cs="Times New Roman"/>
          <w:sz w:val="24"/>
        </w:rPr>
      </w:pPr>
      <w:r>
        <w:rPr>
          <w:rFonts w:ascii="Times New Roman" w:eastAsia="Times New Roman" w:hAnsi="Times New Roman" w:cs="Times New Roman"/>
          <w:sz w:val="24"/>
        </w:rPr>
        <w:tab/>
        <w:t xml:space="preserve">Again, it is illuminating to consider </w:t>
      </w:r>
      <w:r w:rsidR="009A1741">
        <w:rPr>
          <w:rFonts w:ascii="Times New Roman" w:eastAsia="Times New Roman" w:hAnsi="Times New Roman" w:cs="Times New Roman"/>
          <w:sz w:val="24"/>
        </w:rPr>
        <w:t>Montesquieu’s</w:t>
      </w:r>
      <w:r>
        <w:rPr>
          <w:rFonts w:ascii="Times New Roman" w:eastAsia="Times New Roman" w:hAnsi="Times New Roman" w:cs="Times New Roman"/>
          <w:sz w:val="24"/>
        </w:rPr>
        <w:t xml:space="preserve"> attitude toward Jews through the lens of his attitude toward commerce.</w:t>
      </w:r>
      <w:r>
        <w:rPr>
          <w:rFonts w:ascii="Times New Roman" w:eastAsia="Times New Roman" w:hAnsi="Times New Roman" w:cs="Times New Roman"/>
          <w:sz w:val="24"/>
          <w:vertAlign w:val="superscript"/>
        </w:rPr>
        <w:footnoteReference w:id="95"/>
      </w:r>
      <w:r>
        <w:rPr>
          <w:rFonts w:ascii="Times New Roman" w:eastAsia="Times New Roman" w:hAnsi="Times New Roman" w:cs="Times New Roman"/>
          <w:sz w:val="24"/>
        </w:rPr>
        <w:t xml:space="preserve"> And again, the example of Montesquieu complicates </w:t>
      </w:r>
      <w:r w:rsidR="007855C4">
        <w:rPr>
          <w:rFonts w:ascii="Times New Roman" w:eastAsia="Times New Roman" w:hAnsi="Times New Roman" w:cs="Times New Roman"/>
          <w:sz w:val="24"/>
        </w:rPr>
        <w:t xml:space="preserve">accounts </w:t>
      </w:r>
      <w:r>
        <w:rPr>
          <w:rFonts w:ascii="Times New Roman" w:eastAsia="Times New Roman" w:hAnsi="Times New Roman" w:cs="Times New Roman"/>
          <w:sz w:val="24"/>
        </w:rPr>
        <w:t xml:space="preserve">of </w:t>
      </w:r>
      <w:r w:rsidR="009A1741">
        <w:rPr>
          <w:rFonts w:ascii="Times New Roman" w:eastAsia="Times New Roman" w:hAnsi="Times New Roman" w:cs="Times New Roman"/>
          <w:sz w:val="24"/>
        </w:rPr>
        <w:t>“</w:t>
      </w:r>
      <w:r>
        <w:rPr>
          <w:rFonts w:ascii="Times New Roman" w:eastAsia="Times New Roman" w:hAnsi="Times New Roman" w:cs="Times New Roman"/>
          <w:sz w:val="24"/>
        </w:rPr>
        <w:t>a link between philo-capitalism and philo-Semitism</w:t>
      </w:r>
      <w:r w:rsidR="009A1741">
        <w:rPr>
          <w:rFonts w:ascii="Times New Roman" w:eastAsia="Times New Roman" w:hAnsi="Times New Roman" w:cs="Times New Roman"/>
          <w:sz w:val="24"/>
        </w:rPr>
        <w:t>.”</w:t>
      </w:r>
      <w:r>
        <w:rPr>
          <w:rFonts w:ascii="Times New Roman" w:eastAsia="Times New Roman" w:hAnsi="Times New Roman" w:cs="Times New Roman"/>
          <w:sz w:val="24"/>
        </w:rPr>
        <w:t xml:space="preserve"> Montesquieu treated the rise of commercial society with far more circumspection than Voltaire did, a fact that goes some way toward explaining his friendlier stance toward Jews: he saw the whole of his society as implicated in a project that was both healthy and harmful. He was both a friend and a critic of commerce. Anoush Fraser Terjanian sees signs of </w:t>
      </w:r>
      <w:r w:rsidR="009A1741">
        <w:rPr>
          <w:rFonts w:ascii="Times New Roman" w:eastAsia="Times New Roman" w:hAnsi="Times New Roman" w:cs="Times New Roman"/>
          <w:sz w:val="24"/>
        </w:rPr>
        <w:t>Montesquieu’s</w:t>
      </w:r>
      <w:r>
        <w:rPr>
          <w:rFonts w:ascii="Times New Roman" w:eastAsia="Times New Roman" w:hAnsi="Times New Roman" w:cs="Times New Roman"/>
          <w:sz w:val="24"/>
        </w:rPr>
        <w:t xml:space="preserve"> ambivalence in his treatment of </w:t>
      </w:r>
      <w:r w:rsidR="009A1741">
        <w:rPr>
          <w:rFonts w:ascii="Times New Roman" w:eastAsia="Times New Roman" w:hAnsi="Times New Roman" w:cs="Times New Roman"/>
          <w:sz w:val="24"/>
        </w:rPr>
        <w:t>“</w:t>
      </w:r>
      <w:r>
        <w:rPr>
          <w:rFonts w:ascii="Times New Roman" w:eastAsia="Times New Roman" w:hAnsi="Times New Roman" w:cs="Times New Roman"/>
          <w:sz w:val="24"/>
        </w:rPr>
        <w:t>the deleterious effects of commerce</w:t>
      </w:r>
      <w:r w:rsidR="009A1741">
        <w:rPr>
          <w:rFonts w:ascii="Times New Roman" w:eastAsia="Times New Roman" w:hAnsi="Times New Roman" w:cs="Times New Roman"/>
          <w:sz w:val="24"/>
        </w:rPr>
        <w:t>”</w:t>
      </w:r>
      <w:r>
        <w:rPr>
          <w:rFonts w:ascii="Times New Roman" w:eastAsia="Times New Roman" w:hAnsi="Times New Roman" w:cs="Times New Roman"/>
          <w:sz w:val="24"/>
        </w:rPr>
        <w:t xml:space="preserve"> and </w:t>
      </w:r>
      <w:r w:rsidR="009A1741">
        <w:rPr>
          <w:rFonts w:ascii="Times New Roman" w:eastAsia="Times New Roman" w:hAnsi="Times New Roman" w:cs="Times New Roman"/>
          <w:sz w:val="24"/>
        </w:rPr>
        <w:t>“</w:t>
      </w:r>
      <w:r>
        <w:rPr>
          <w:rFonts w:ascii="Times New Roman" w:eastAsia="Times New Roman" w:hAnsi="Times New Roman" w:cs="Times New Roman"/>
          <w:sz w:val="24"/>
        </w:rPr>
        <w:t>the corrupting potential of commerce upon mores</w:t>
      </w:r>
      <w:r w:rsidR="009A1741">
        <w:rPr>
          <w:rFonts w:ascii="Times New Roman" w:eastAsia="Times New Roman" w:hAnsi="Times New Roman" w:cs="Times New Roman"/>
          <w:sz w:val="24"/>
        </w:rPr>
        <w:t>.”</w:t>
      </w:r>
      <w:r>
        <w:rPr>
          <w:rFonts w:ascii="Times New Roman" w:eastAsia="Times New Roman" w:hAnsi="Times New Roman" w:cs="Times New Roman"/>
          <w:sz w:val="24"/>
          <w:vertAlign w:val="superscript"/>
        </w:rPr>
        <w:footnoteReference w:id="96"/>
      </w:r>
      <w:r>
        <w:rPr>
          <w:rFonts w:ascii="Times New Roman" w:eastAsia="Times New Roman" w:hAnsi="Times New Roman" w:cs="Times New Roman"/>
          <w:sz w:val="24"/>
        </w:rPr>
        <w:t xml:space="preserve"> </w:t>
      </w:r>
      <w:r w:rsidR="00125FC5">
        <w:rPr>
          <w:rFonts w:ascii="Times New Roman" w:eastAsia="Times New Roman" w:hAnsi="Times New Roman" w:cs="Times New Roman"/>
          <w:sz w:val="24"/>
        </w:rPr>
        <w:t xml:space="preserve">For </w:t>
      </w:r>
      <w:r w:rsidR="007E05F0">
        <w:rPr>
          <w:rFonts w:ascii="Times New Roman" w:eastAsia="Times New Roman" w:hAnsi="Times New Roman" w:cs="Times New Roman"/>
          <w:sz w:val="24"/>
        </w:rPr>
        <w:t>Montesquieu</w:t>
      </w:r>
      <w:r w:rsidR="00125FC5">
        <w:rPr>
          <w:rFonts w:ascii="Times New Roman" w:eastAsia="Times New Roman" w:hAnsi="Times New Roman" w:cs="Times New Roman"/>
          <w:sz w:val="24"/>
        </w:rPr>
        <w:t xml:space="preserve">, writes Michael Sonenscher, </w:t>
      </w:r>
      <w:r w:rsidR="009A1741">
        <w:rPr>
          <w:rFonts w:ascii="Times New Roman" w:eastAsia="Times New Roman" w:hAnsi="Times New Roman" w:cs="Times New Roman"/>
          <w:sz w:val="24"/>
        </w:rPr>
        <w:t>“</w:t>
      </w:r>
      <w:r w:rsidR="00125FC5">
        <w:rPr>
          <w:rFonts w:ascii="Times New Roman" w:eastAsia="Times New Roman" w:hAnsi="Times New Roman" w:cs="Times New Roman"/>
          <w:sz w:val="24"/>
        </w:rPr>
        <w:t>greatness and wealth set limits on how far virtue could go</w:t>
      </w:r>
      <w:r w:rsidR="009A1741">
        <w:rPr>
          <w:rFonts w:ascii="Times New Roman" w:eastAsia="Times New Roman" w:hAnsi="Times New Roman" w:cs="Times New Roman"/>
          <w:sz w:val="24"/>
        </w:rPr>
        <w:t>.”</w:t>
      </w:r>
      <w:r w:rsidR="00125FC5">
        <w:rPr>
          <w:rStyle w:val="FootnoteReference"/>
          <w:rFonts w:ascii="Times New Roman" w:eastAsia="Times New Roman" w:hAnsi="Times New Roman" w:cs="Times New Roman"/>
          <w:sz w:val="24"/>
        </w:rPr>
        <w:footnoteReference w:id="97"/>
      </w:r>
      <w:r w:rsidR="00125FC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Similarly, Sharon R. Krause notes </w:t>
      </w:r>
      <w:r w:rsidR="009A1741">
        <w:rPr>
          <w:rFonts w:ascii="Times New Roman" w:eastAsia="Times New Roman" w:hAnsi="Times New Roman" w:cs="Times New Roman"/>
          <w:sz w:val="24"/>
        </w:rPr>
        <w:t>Montesquieu’s</w:t>
      </w:r>
      <w:r>
        <w:rPr>
          <w:rFonts w:ascii="Times New Roman" w:eastAsia="Times New Roman" w:hAnsi="Times New Roman" w:cs="Times New Roman"/>
          <w:sz w:val="24"/>
        </w:rPr>
        <w:t xml:space="preserve"> refusal to treat commercial society as an unequivocal good: </w:t>
      </w:r>
      <w:r w:rsidR="009A1741">
        <w:rPr>
          <w:rFonts w:ascii="Times New Roman" w:eastAsia="Times New Roman" w:hAnsi="Times New Roman" w:cs="Times New Roman"/>
          <w:sz w:val="24"/>
        </w:rPr>
        <w:t>“</w:t>
      </w:r>
      <w:r>
        <w:rPr>
          <w:rFonts w:ascii="Times New Roman" w:eastAsia="Times New Roman" w:hAnsi="Times New Roman" w:cs="Times New Roman"/>
          <w:sz w:val="24"/>
        </w:rPr>
        <w:t>No unitary standard makes possible a rank ordering of the lives of honor, political virtue, moral virtue, and commerce</w:t>
      </w:r>
      <w:r w:rsidR="009A1741">
        <w:rPr>
          <w:rFonts w:ascii="Times New Roman" w:eastAsia="Times New Roman" w:hAnsi="Times New Roman" w:cs="Times New Roman"/>
          <w:sz w:val="24"/>
        </w:rPr>
        <w:t>.”</w:t>
      </w:r>
      <w:r>
        <w:rPr>
          <w:rFonts w:ascii="Times New Roman" w:eastAsia="Times New Roman" w:hAnsi="Times New Roman" w:cs="Times New Roman"/>
          <w:sz w:val="24"/>
          <w:vertAlign w:val="superscript"/>
        </w:rPr>
        <w:footnoteReference w:id="98"/>
      </w:r>
      <w:r>
        <w:rPr>
          <w:rFonts w:ascii="Times New Roman" w:eastAsia="Times New Roman" w:hAnsi="Times New Roman" w:cs="Times New Roman"/>
          <w:sz w:val="24"/>
        </w:rPr>
        <w:t xml:space="preserve"> Lacking </w:t>
      </w:r>
      <w:r w:rsidR="009A1741">
        <w:rPr>
          <w:rFonts w:ascii="Times New Roman" w:eastAsia="Times New Roman" w:hAnsi="Times New Roman" w:cs="Times New Roman"/>
          <w:sz w:val="24"/>
        </w:rPr>
        <w:t>Voltaire’s</w:t>
      </w:r>
      <w:r>
        <w:rPr>
          <w:rFonts w:ascii="Times New Roman" w:eastAsia="Times New Roman" w:hAnsi="Times New Roman" w:cs="Times New Roman"/>
          <w:sz w:val="24"/>
        </w:rPr>
        <w:t xml:space="preserve"> need to defend an un-nuanced position, Montesquieu also lacked </w:t>
      </w:r>
      <w:r w:rsidR="009A1741">
        <w:rPr>
          <w:rFonts w:ascii="Times New Roman" w:eastAsia="Times New Roman" w:hAnsi="Times New Roman" w:cs="Times New Roman"/>
          <w:sz w:val="24"/>
        </w:rPr>
        <w:t>Voltaire’s</w:t>
      </w:r>
      <w:r>
        <w:rPr>
          <w:rFonts w:ascii="Times New Roman" w:eastAsia="Times New Roman" w:hAnsi="Times New Roman" w:cs="Times New Roman"/>
          <w:sz w:val="24"/>
        </w:rPr>
        <w:t xml:space="preserve"> need for commercial scapegoats.</w:t>
      </w:r>
    </w:p>
    <w:p w14:paraId="64BD2CAE" w14:textId="0C7AD246" w:rsidR="002F566E" w:rsidRPr="00B940BC" w:rsidRDefault="004D3EAE" w:rsidP="00411136">
      <w:pPr>
        <w:pStyle w:val="normal0"/>
        <w:spacing w:line="240" w:lineRule="auto"/>
        <w:contextualSpacing w:val="0"/>
        <w:rPr>
          <w:rFonts w:ascii="Times New Roman" w:eastAsia="Times New Roman" w:hAnsi="Times New Roman" w:cs="Times New Roman"/>
          <w:sz w:val="24"/>
        </w:rPr>
      </w:pPr>
      <w:r>
        <w:rPr>
          <w:rFonts w:ascii="Times New Roman" w:eastAsia="Times New Roman" w:hAnsi="Times New Roman" w:cs="Times New Roman"/>
          <w:sz w:val="24"/>
        </w:rPr>
        <w:tab/>
      </w:r>
      <w:r w:rsidR="009A1741">
        <w:rPr>
          <w:rFonts w:ascii="Times New Roman" w:eastAsia="Times New Roman" w:hAnsi="Times New Roman" w:cs="Times New Roman"/>
          <w:sz w:val="24"/>
        </w:rPr>
        <w:t>Montesquieu’s</w:t>
      </w:r>
      <w:r>
        <w:rPr>
          <w:rFonts w:ascii="Times New Roman" w:eastAsia="Times New Roman" w:hAnsi="Times New Roman" w:cs="Times New Roman"/>
          <w:sz w:val="24"/>
        </w:rPr>
        <w:t xml:space="preserve"> ambivalence is best seen in his treatment of the classical world, which he held up (as would Rousseau and Ferguson) as a foil for the world of commerce.</w:t>
      </w:r>
      <w:r>
        <w:rPr>
          <w:rFonts w:ascii="Times New Roman" w:eastAsia="Times New Roman" w:hAnsi="Times New Roman" w:cs="Times New Roman"/>
          <w:sz w:val="24"/>
          <w:vertAlign w:val="superscript"/>
        </w:rPr>
        <w:footnoteReference w:id="99"/>
      </w:r>
      <w:r>
        <w:rPr>
          <w:rFonts w:ascii="Times New Roman" w:eastAsia="Times New Roman" w:hAnsi="Times New Roman" w:cs="Times New Roman"/>
          <w:sz w:val="24"/>
        </w:rPr>
        <w:t xml:space="preserve"> The ancient republics of virtue received </w:t>
      </w:r>
      <w:r w:rsidR="009A1741">
        <w:rPr>
          <w:rFonts w:ascii="Times New Roman" w:eastAsia="Times New Roman" w:hAnsi="Times New Roman" w:cs="Times New Roman"/>
          <w:sz w:val="24"/>
        </w:rPr>
        <w:t>Montesquieu’s</w:t>
      </w:r>
      <w:r>
        <w:rPr>
          <w:rFonts w:ascii="Times New Roman" w:eastAsia="Times New Roman" w:hAnsi="Times New Roman" w:cs="Times New Roman"/>
          <w:sz w:val="24"/>
        </w:rPr>
        <w:t xml:space="preserve"> deepest admiration: </w:t>
      </w:r>
      <w:r w:rsidR="009A1741">
        <w:rPr>
          <w:rFonts w:ascii="Times New Roman" w:eastAsia="Times New Roman" w:hAnsi="Times New Roman" w:cs="Times New Roman"/>
          <w:sz w:val="24"/>
        </w:rPr>
        <w:t>“</w:t>
      </w:r>
      <w:r>
        <w:rPr>
          <w:rFonts w:ascii="Times New Roman" w:eastAsia="Times New Roman" w:hAnsi="Times New Roman" w:cs="Times New Roman"/>
          <w:sz w:val="24"/>
        </w:rPr>
        <w:t>Most of the ancient peoples lived</w:t>
      </w:r>
      <w:r w:rsidR="00DC0034">
        <w:rPr>
          <w:rFonts w:ascii="Times New Roman" w:eastAsia="Times New Roman" w:hAnsi="Times New Roman" w:cs="Times New Roman"/>
          <w:sz w:val="24"/>
        </w:rPr>
        <w:t xml:space="preserve"> in governments that had virtue</w:t>
      </w:r>
      <w:r>
        <w:rPr>
          <w:rFonts w:ascii="Times New Roman" w:eastAsia="Times New Roman" w:hAnsi="Times New Roman" w:cs="Times New Roman"/>
          <w:sz w:val="24"/>
        </w:rPr>
        <w:t xml:space="preserve"> for their principle, and when that virtue was in full force, things were done in those governments that we no </w:t>
      </w:r>
      <w:r>
        <w:rPr>
          <w:rFonts w:ascii="Times New Roman" w:eastAsia="Times New Roman" w:hAnsi="Times New Roman" w:cs="Times New Roman"/>
          <w:sz w:val="24"/>
        </w:rPr>
        <w:lastRenderedPageBreak/>
        <w:t>longer see and that astonish our small souls</w:t>
      </w:r>
      <w:r w:rsidR="009A1741">
        <w:rPr>
          <w:rFonts w:ascii="Times New Roman" w:eastAsia="Times New Roman" w:hAnsi="Times New Roman" w:cs="Times New Roman"/>
          <w:sz w:val="24"/>
        </w:rPr>
        <w:t>.”</w:t>
      </w:r>
      <w:r>
        <w:rPr>
          <w:rFonts w:ascii="Times New Roman" w:eastAsia="Times New Roman" w:hAnsi="Times New Roman" w:cs="Times New Roman"/>
          <w:sz w:val="24"/>
          <w:vertAlign w:val="superscript"/>
        </w:rPr>
        <w:footnoteReference w:id="100"/>
      </w:r>
      <w:r w:rsidR="00B940BC">
        <w:rPr>
          <w:rFonts w:ascii="Times New Roman" w:eastAsia="Times New Roman" w:hAnsi="Times New Roman" w:cs="Times New Roman"/>
          <w:sz w:val="24"/>
        </w:rPr>
        <w:t xml:space="preserve"> </w:t>
      </w:r>
      <w:r>
        <w:rPr>
          <w:rFonts w:ascii="Times New Roman" w:eastAsia="Times New Roman" w:hAnsi="Times New Roman" w:cs="Times New Roman"/>
          <w:sz w:val="24"/>
        </w:rPr>
        <w:t>And these remarkable accomplishments were directly tied to frugality and a rough equality.</w:t>
      </w:r>
      <w:r>
        <w:rPr>
          <w:rFonts w:ascii="Times New Roman" w:eastAsia="Times New Roman" w:hAnsi="Times New Roman" w:cs="Times New Roman"/>
          <w:sz w:val="24"/>
          <w:vertAlign w:val="superscript"/>
        </w:rPr>
        <w:footnoteReference w:id="101"/>
      </w:r>
    </w:p>
    <w:p w14:paraId="486809B8" w14:textId="5A456DFE" w:rsidR="002F566E" w:rsidRPr="00086063" w:rsidRDefault="004D3EAE" w:rsidP="00411136">
      <w:pPr>
        <w:pStyle w:val="normal0"/>
        <w:spacing w:line="240" w:lineRule="auto"/>
        <w:contextualSpacing w:val="0"/>
        <w:rPr>
          <w:rFonts w:ascii="Times New Roman" w:eastAsia="Times New Roman" w:hAnsi="Times New Roman" w:cs="Times New Roman"/>
          <w:sz w:val="24"/>
        </w:rPr>
      </w:pPr>
      <w:r>
        <w:rPr>
          <w:rFonts w:ascii="Times New Roman" w:eastAsia="Times New Roman" w:hAnsi="Times New Roman" w:cs="Times New Roman"/>
          <w:sz w:val="24"/>
        </w:rPr>
        <w:tab/>
        <w:t xml:space="preserve">But this picture of the pre-commercial world was complicated by </w:t>
      </w:r>
      <w:r w:rsidR="009A1741">
        <w:rPr>
          <w:rFonts w:ascii="Times New Roman" w:eastAsia="Times New Roman" w:hAnsi="Times New Roman" w:cs="Times New Roman"/>
          <w:sz w:val="24"/>
        </w:rPr>
        <w:t>Montesquieu’s</w:t>
      </w:r>
      <w:r>
        <w:rPr>
          <w:rFonts w:ascii="Times New Roman" w:eastAsia="Times New Roman" w:hAnsi="Times New Roman" w:cs="Times New Roman"/>
          <w:sz w:val="24"/>
        </w:rPr>
        <w:t xml:space="preserve"> characterization of public virtue as a difficult and unstable balancing act. Republics of virtue demand constant repression </w:t>
      </w:r>
      <w:r w:rsidR="0002495D">
        <w:rPr>
          <w:rFonts w:ascii="Times New Roman" w:eastAsia="Times New Roman" w:hAnsi="Times New Roman" w:cs="Times New Roman"/>
          <w:sz w:val="24"/>
        </w:rPr>
        <w:t>or</w:t>
      </w:r>
      <w:bookmarkStart w:id="0" w:name="_GoBack"/>
      <w:bookmarkEnd w:id="0"/>
      <w:r>
        <w:rPr>
          <w:rFonts w:ascii="Times New Roman" w:eastAsia="Times New Roman" w:hAnsi="Times New Roman" w:cs="Times New Roman"/>
          <w:sz w:val="24"/>
        </w:rPr>
        <w:t xml:space="preserve"> sublimation of citizens</w:t>
      </w:r>
      <w:r w:rsidR="00EB4910">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9A1741">
        <w:rPr>
          <w:rFonts w:ascii="Times New Roman" w:eastAsia="Times New Roman" w:hAnsi="Times New Roman" w:cs="Times New Roman"/>
          <w:sz w:val="24"/>
        </w:rPr>
        <w:t>“</w:t>
      </w:r>
      <w:r>
        <w:rPr>
          <w:rFonts w:ascii="Times New Roman" w:eastAsia="Times New Roman" w:hAnsi="Times New Roman" w:cs="Times New Roman"/>
          <w:sz w:val="24"/>
        </w:rPr>
        <w:t>particular passions</w:t>
      </w:r>
      <w:r w:rsidR="009A1741">
        <w:rPr>
          <w:rFonts w:ascii="Times New Roman" w:eastAsia="Times New Roman" w:hAnsi="Times New Roman" w:cs="Times New Roman"/>
          <w:sz w:val="24"/>
        </w:rPr>
        <w:t>,”</w:t>
      </w:r>
      <w:r>
        <w:rPr>
          <w:rFonts w:ascii="Times New Roman" w:eastAsia="Times New Roman" w:hAnsi="Times New Roman" w:cs="Times New Roman"/>
          <w:sz w:val="24"/>
        </w:rPr>
        <w:t xml:space="preserve"> as well as constant </w:t>
      </w:r>
      <w:r w:rsidR="009A1741">
        <w:rPr>
          <w:rFonts w:ascii="Times New Roman" w:eastAsia="Times New Roman" w:hAnsi="Times New Roman" w:cs="Times New Roman"/>
          <w:sz w:val="24"/>
        </w:rPr>
        <w:t>“</w:t>
      </w:r>
      <w:r>
        <w:rPr>
          <w:rFonts w:ascii="Times New Roman" w:eastAsia="Times New Roman" w:hAnsi="Times New Roman" w:cs="Times New Roman"/>
          <w:sz w:val="24"/>
        </w:rPr>
        <w:t>dread</w:t>
      </w:r>
      <w:r w:rsidR="009A1741">
        <w:rPr>
          <w:rFonts w:ascii="Times New Roman" w:eastAsia="Times New Roman" w:hAnsi="Times New Roman" w:cs="Times New Roman"/>
          <w:sz w:val="24"/>
        </w:rPr>
        <w:t>”</w:t>
      </w:r>
      <w:r>
        <w:rPr>
          <w:rFonts w:ascii="Times New Roman" w:eastAsia="Times New Roman" w:hAnsi="Times New Roman" w:cs="Times New Roman"/>
          <w:sz w:val="24"/>
        </w:rPr>
        <w:t xml:space="preserve"> of external enemies; like Sparta, they could combine </w:t>
      </w:r>
      <w:r w:rsidR="009A1741">
        <w:rPr>
          <w:rFonts w:ascii="Times New Roman" w:eastAsia="Times New Roman" w:hAnsi="Times New Roman" w:cs="Times New Roman"/>
          <w:sz w:val="24"/>
        </w:rPr>
        <w:t>“</w:t>
      </w:r>
      <w:r>
        <w:rPr>
          <w:rFonts w:ascii="Times New Roman" w:eastAsia="Times New Roman" w:hAnsi="Times New Roman" w:cs="Times New Roman"/>
          <w:sz w:val="24"/>
        </w:rPr>
        <w:t>the harshest slavery with extreme liberty</w:t>
      </w:r>
      <w:r w:rsidR="009A1741">
        <w:rPr>
          <w:rFonts w:ascii="Times New Roman" w:eastAsia="Times New Roman" w:hAnsi="Times New Roman" w:cs="Times New Roman"/>
          <w:sz w:val="24"/>
        </w:rPr>
        <w:t>.”</w:t>
      </w:r>
      <w:r>
        <w:rPr>
          <w:rFonts w:ascii="Times New Roman" w:eastAsia="Times New Roman" w:hAnsi="Times New Roman" w:cs="Times New Roman"/>
          <w:sz w:val="24"/>
        </w:rPr>
        <w:t xml:space="preserve"> Commerce entered </w:t>
      </w:r>
      <w:r w:rsidR="009A1741">
        <w:rPr>
          <w:rFonts w:ascii="Times New Roman" w:eastAsia="Times New Roman" w:hAnsi="Times New Roman" w:cs="Times New Roman"/>
          <w:sz w:val="24"/>
        </w:rPr>
        <w:t>Montesquieu’s</w:t>
      </w:r>
      <w:r>
        <w:rPr>
          <w:rFonts w:ascii="Times New Roman" w:eastAsia="Times New Roman" w:hAnsi="Times New Roman" w:cs="Times New Roman"/>
          <w:sz w:val="24"/>
        </w:rPr>
        <w:t xml:space="preserve"> political theory as a moderating force that offered stability and a measure of peace at the cost of true excellence: while the republic of virtue was a high-risk, high-reward proposition, commercial society was comparatively low-risk, low-reward. </w:t>
      </w:r>
      <w:r w:rsidR="009A1741">
        <w:rPr>
          <w:rFonts w:ascii="Times New Roman" w:eastAsia="Times New Roman" w:hAnsi="Times New Roman" w:cs="Times New Roman"/>
          <w:sz w:val="24"/>
        </w:rPr>
        <w:t>“</w:t>
      </w:r>
      <w:r>
        <w:rPr>
          <w:rFonts w:ascii="Times New Roman" w:eastAsia="Times New Roman" w:hAnsi="Times New Roman" w:cs="Times New Roman"/>
          <w:sz w:val="24"/>
        </w:rPr>
        <w:t>Commerce corrupts pure mores</w:t>
      </w:r>
      <w:r w:rsidR="009A1741">
        <w:rPr>
          <w:rFonts w:ascii="Times New Roman" w:eastAsia="Times New Roman" w:hAnsi="Times New Roman" w:cs="Times New Roman"/>
          <w:sz w:val="24"/>
        </w:rPr>
        <w:t>,”</w:t>
      </w:r>
      <w:r>
        <w:rPr>
          <w:rFonts w:ascii="Times New Roman" w:eastAsia="Times New Roman" w:hAnsi="Times New Roman" w:cs="Times New Roman"/>
          <w:sz w:val="24"/>
        </w:rPr>
        <w:t xml:space="preserve"> argued Montesquieu, but </w:t>
      </w:r>
      <w:r w:rsidR="009A1741">
        <w:rPr>
          <w:rFonts w:ascii="Times New Roman" w:eastAsia="Times New Roman" w:hAnsi="Times New Roman" w:cs="Times New Roman"/>
          <w:sz w:val="24"/>
        </w:rPr>
        <w:t>“</w:t>
      </w:r>
      <w:r>
        <w:rPr>
          <w:rFonts w:ascii="Times New Roman" w:eastAsia="Times New Roman" w:hAnsi="Times New Roman" w:cs="Times New Roman"/>
          <w:sz w:val="24"/>
        </w:rPr>
        <w:t>it polishes and softens barbarous mores, as we see every day</w:t>
      </w:r>
      <w:r w:rsidR="009A1741">
        <w:rPr>
          <w:rFonts w:ascii="Times New Roman" w:eastAsia="Times New Roman" w:hAnsi="Times New Roman" w:cs="Times New Roman"/>
          <w:sz w:val="24"/>
        </w:rPr>
        <w:t>.”</w:t>
      </w:r>
      <w:r>
        <w:rPr>
          <w:rFonts w:ascii="Times New Roman" w:eastAsia="Times New Roman" w:hAnsi="Times New Roman" w:cs="Times New Roman"/>
          <w:sz w:val="24"/>
          <w:vertAlign w:val="superscript"/>
        </w:rPr>
        <w:footnoteReference w:id="102"/>
      </w:r>
      <w:r>
        <w:rPr>
          <w:rFonts w:ascii="Times New Roman" w:eastAsia="Times New Roman" w:hAnsi="Times New Roman" w:cs="Times New Roman"/>
          <w:sz w:val="24"/>
        </w:rPr>
        <w:t xml:space="preserve"> While Montesquieu saw contemporary commerce operating </w:t>
      </w:r>
      <w:r w:rsidR="009A1741">
        <w:rPr>
          <w:rFonts w:ascii="Times New Roman" w:eastAsia="Times New Roman" w:hAnsi="Times New Roman" w:cs="Times New Roman"/>
          <w:sz w:val="24"/>
        </w:rPr>
        <w:t>“</w:t>
      </w:r>
      <w:r>
        <w:rPr>
          <w:rFonts w:ascii="Times New Roman" w:eastAsia="Times New Roman" w:hAnsi="Times New Roman" w:cs="Times New Roman"/>
          <w:sz w:val="24"/>
        </w:rPr>
        <w:t>every day</w:t>
      </w:r>
      <w:r w:rsidR="009A1741">
        <w:rPr>
          <w:rFonts w:ascii="Times New Roman" w:eastAsia="Times New Roman" w:hAnsi="Times New Roman" w:cs="Times New Roman"/>
          <w:sz w:val="24"/>
        </w:rPr>
        <w:t>”</w:t>
      </w:r>
      <w:r>
        <w:rPr>
          <w:rFonts w:ascii="Times New Roman" w:eastAsia="Times New Roman" w:hAnsi="Times New Roman" w:cs="Times New Roman"/>
          <w:sz w:val="24"/>
        </w:rPr>
        <w:t xml:space="preserve"> in its softening aspect, he described its corrupting aspect in the same breath.</w:t>
      </w:r>
      <w:r w:rsidR="0008606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Voltairean commerce was strictly progressive, while </w:t>
      </w:r>
      <w:r w:rsidR="009A1741">
        <w:rPr>
          <w:rFonts w:ascii="Times New Roman" w:eastAsia="Times New Roman" w:hAnsi="Times New Roman" w:cs="Times New Roman"/>
          <w:sz w:val="24"/>
        </w:rPr>
        <w:t>Montesquieu’s</w:t>
      </w:r>
      <w:r>
        <w:rPr>
          <w:rFonts w:ascii="Times New Roman" w:eastAsia="Times New Roman" w:hAnsi="Times New Roman" w:cs="Times New Roman"/>
          <w:sz w:val="24"/>
        </w:rPr>
        <w:t xml:space="preserve"> commerce was </w:t>
      </w:r>
      <w:r w:rsidR="00D943F3">
        <w:rPr>
          <w:rFonts w:ascii="Times New Roman" w:eastAsia="Times New Roman" w:hAnsi="Times New Roman" w:cs="Times New Roman"/>
          <w:sz w:val="24"/>
        </w:rPr>
        <w:t>double</w:t>
      </w:r>
      <w:r>
        <w:rPr>
          <w:rFonts w:ascii="Times New Roman" w:eastAsia="Times New Roman" w:hAnsi="Times New Roman" w:cs="Times New Roman"/>
          <w:sz w:val="24"/>
        </w:rPr>
        <w:t>-faced.</w:t>
      </w:r>
    </w:p>
    <w:p w14:paraId="5A49B102" w14:textId="28CEE07E" w:rsidR="002F566E" w:rsidRDefault="004D3EAE" w:rsidP="00411136">
      <w:pPr>
        <w:pStyle w:val="normal0"/>
        <w:spacing w:line="240" w:lineRule="auto"/>
        <w:contextualSpacing w:val="0"/>
      </w:pPr>
      <w:r>
        <w:rPr>
          <w:rFonts w:ascii="Times New Roman" w:eastAsia="Times New Roman" w:hAnsi="Times New Roman" w:cs="Times New Roman"/>
          <w:sz w:val="24"/>
        </w:rPr>
        <w:tab/>
        <w:t xml:space="preserve">In fact, under certain conditions, commerce might turn harmful, just as an excess of virtue might. Improperly regulated, commercial society could prove self-destructive: sometimes, as Montesquieu argued, </w:t>
      </w:r>
      <w:r w:rsidR="009A1741">
        <w:rPr>
          <w:rFonts w:ascii="Times New Roman" w:eastAsia="Times New Roman" w:hAnsi="Times New Roman" w:cs="Times New Roman"/>
          <w:sz w:val="24"/>
        </w:rPr>
        <w:t>“</w:t>
      </w:r>
      <w:r>
        <w:rPr>
          <w:rFonts w:ascii="Times New Roman" w:eastAsia="Times New Roman" w:hAnsi="Times New Roman" w:cs="Times New Roman"/>
          <w:sz w:val="24"/>
        </w:rPr>
        <w:t>an excess of wealth destroys the spirit of commerce</w:t>
      </w:r>
      <w:r w:rsidR="009A1741">
        <w:rPr>
          <w:rFonts w:ascii="Times New Roman" w:eastAsia="Times New Roman" w:hAnsi="Times New Roman" w:cs="Times New Roman"/>
          <w:sz w:val="24"/>
        </w:rPr>
        <w:t>,”</w:t>
      </w:r>
      <w:r>
        <w:rPr>
          <w:rFonts w:ascii="Times New Roman" w:eastAsia="Times New Roman" w:hAnsi="Times New Roman" w:cs="Times New Roman"/>
          <w:sz w:val="24"/>
        </w:rPr>
        <w:t xml:space="preserve"> and conspicuous consumption eclipses the true signs of virtue, as </w:t>
      </w:r>
      <w:r w:rsidR="009A1741">
        <w:rPr>
          <w:rFonts w:ascii="Times New Roman" w:eastAsia="Times New Roman" w:hAnsi="Times New Roman" w:cs="Times New Roman"/>
          <w:sz w:val="24"/>
        </w:rPr>
        <w:t>“</w:t>
      </w:r>
      <w:r>
        <w:rPr>
          <w:rFonts w:ascii="Times New Roman" w:eastAsia="Times New Roman" w:hAnsi="Times New Roman" w:cs="Times New Roman"/>
          <w:sz w:val="24"/>
        </w:rPr>
        <w:t>each man takes the marks of the condition above his own</w:t>
      </w:r>
      <w:r w:rsidR="009A1741">
        <w:rPr>
          <w:rFonts w:ascii="Times New Roman" w:eastAsia="Times New Roman" w:hAnsi="Times New Roman" w:cs="Times New Roman"/>
          <w:sz w:val="24"/>
        </w:rPr>
        <w:t>.”</w:t>
      </w:r>
      <w:r w:rsidR="00B7513E">
        <w:rPr>
          <w:rFonts w:ascii="Times New Roman" w:eastAsia="Times New Roman" w:hAnsi="Times New Roman" w:cs="Times New Roman"/>
          <w:sz w:val="24"/>
          <w:vertAlign w:val="superscript"/>
        </w:rPr>
        <w:footnoteReference w:id="103"/>
      </w:r>
      <w:r w:rsidR="00B7513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This is not to suggest that he saw these sad outcomes as inevitable: as Nannerl O. Keohane points out, Montesquieu also held that commerce, under the right thrift-preserving strictures, could </w:t>
      </w:r>
      <w:r w:rsidR="009A1741">
        <w:rPr>
          <w:rFonts w:ascii="Times New Roman" w:eastAsia="Times New Roman" w:hAnsi="Times New Roman" w:cs="Times New Roman"/>
          <w:sz w:val="24"/>
        </w:rPr>
        <w:t>“</w:t>
      </w:r>
      <w:r>
        <w:rPr>
          <w:rFonts w:ascii="Times New Roman" w:eastAsia="Times New Roman" w:hAnsi="Times New Roman" w:cs="Times New Roman"/>
          <w:sz w:val="24"/>
        </w:rPr>
        <w:t>be supportive of a republic rather than inimical to it</w:t>
      </w:r>
      <w:r w:rsidR="009A1741">
        <w:rPr>
          <w:rFonts w:ascii="Times New Roman" w:eastAsia="Times New Roman" w:hAnsi="Times New Roman" w:cs="Times New Roman"/>
          <w:sz w:val="24"/>
        </w:rPr>
        <w:t>.”</w:t>
      </w:r>
      <w:r>
        <w:rPr>
          <w:rFonts w:ascii="Times New Roman" w:eastAsia="Times New Roman" w:hAnsi="Times New Roman" w:cs="Times New Roman"/>
          <w:sz w:val="24"/>
          <w:vertAlign w:val="superscript"/>
        </w:rPr>
        <w:footnoteReference w:id="104"/>
      </w:r>
      <w:r>
        <w:rPr>
          <w:rFonts w:ascii="Times New Roman" w:eastAsia="Times New Roman" w:hAnsi="Times New Roman" w:cs="Times New Roman"/>
          <w:sz w:val="24"/>
        </w:rPr>
        <w:t xml:space="preserve"> Yet, as Keohane argues, Montesquieu was radical and conservative by turns; and if his radical streak held out the possibility of a modern, commercial republic of virtue, his caution also left him highly attuned to the toll of contemporary Europe</w:t>
      </w:r>
      <w:r w:rsidR="00EB4910">
        <w:rPr>
          <w:rFonts w:ascii="Times New Roman" w:eastAsia="Times New Roman" w:hAnsi="Times New Roman" w:cs="Times New Roman"/>
          <w:sz w:val="24"/>
        </w:rPr>
        <w:t>’</w:t>
      </w:r>
      <w:r>
        <w:rPr>
          <w:rFonts w:ascii="Times New Roman" w:eastAsia="Times New Roman" w:hAnsi="Times New Roman" w:cs="Times New Roman"/>
          <w:sz w:val="24"/>
        </w:rPr>
        <w:t>s commercial transformations.</w:t>
      </w:r>
    </w:p>
    <w:p w14:paraId="75FA20F9" w14:textId="31498E09" w:rsidR="005A4EC4" w:rsidRDefault="004D3EAE" w:rsidP="00411136">
      <w:pPr>
        <w:pStyle w:val="normal0"/>
        <w:spacing w:line="240" w:lineRule="auto"/>
        <w:ind w:firstLine="720"/>
        <w:contextualSpacing w:val="0"/>
        <w:rPr>
          <w:rFonts w:ascii="Times New Roman" w:eastAsia="Times New Roman" w:hAnsi="Times New Roman" w:cs="Times New Roman"/>
          <w:sz w:val="24"/>
        </w:rPr>
      </w:pPr>
      <w:r>
        <w:rPr>
          <w:rFonts w:ascii="Times New Roman" w:eastAsia="Times New Roman" w:hAnsi="Times New Roman" w:cs="Times New Roman"/>
          <w:sz w:val="24"/>
        </w:rPr>
        <w:t xml:space="preserve">So where commerce prevails unchecked, </w:t>
      </w:r>
      <w:r w:rsidR="009A1741">
        <w:rPr>
          <w:rFonts w:ascii="Times New Roman" w:eastAsia="Times New Roman" w:hAnsi="Times New Roman" w:cs="Times New Roman"/>
          <w:sz w:val="24"/>
        </w:rPr>
        <w:t>“</w:t>
      </w:r>
      <w:r>
        <w:rPr>
          <w:rFonts w:ascii="Times New Roman" w:eastAsia="Times New Roman" w:hAnsi="Times New Roman" w:cs="Times New Roman"/>
          <w:sz w:val="24"/>
        </w:rPr>
        <w:t>there is traffic in all human activities and all moral virtues; the smallest things, those required by humanity, are done or given for money</w:t>
      </w:r>
      <w:r w:rsidR="009A1741">
        <w:rPr>
          <w:rFonts w:ascii="Times New Roman" w:eastAsia="Times New Roman" w:hAnsi="Times New Roman" w:cs="Times New Roman"/>
          <w:sz w:val="24"/>
        </w:rPr>
        <w:t>.”</w:t>
      </w:r>
      <w:r>
        <w:rPr>
          <w:rFonts w:ascii="Times New Roman" w:eastAsia="Times New Roman" w:hAnsi="Times New Roman" w:cs="Times New Roman"/>
          <w:sz w:val="24"/>
        </w:rPr>
        <w:t xml:space="preserve"> And usury, unsavory as it is, is unavoidable: </w:t>
      </w:r>
      <w:r w:rsidR="009A1741">
        <w:rPr>
          <w:rFonts w:ascii="Times New Roman" w:eastAsia="Times New Roman" w:hAnsi="Times New Roman" w:cs="Times New Roman"/>
          <w:sz w:val="24"/>
        </w:rPr>
        <w:t>“</w:t>
      </w:r>
      <w:r>
        <w:rPr>
          <w:rFonts w:ascii="Times New Roman" w:eastAsia="Times New Roman" w:hAnsi="Times New Roman" w:cs="Times New Roman"/>
          <w:sz w:val="24"/>
        </w:rPr>
        <w:t>The business of society must always go forward; usury is established, bringing with it the disorder that has been experienced at all times</w:t>
      </w:r>
      <w:r w:rsidR="009A1741">
        <w:rPr>
          <w:rFonts w:ascii="Times New Roman" w:eastAsia="Times New Roman" w:hAnsi="Times New Roman" w:cs="Times New Roman"/>
          <w:sz w:val="24"/>
        </w:rPr>
        <w:t>.”</w:t>
      </w:r>
      <w:r>
        <w:rPr>
          <w:rFonts w:ascii="Times New Roman" w:eastAsia="Times New Roman" w:hAnsi="Times New Roman" w:cs="Times New Roman"/>
          <w:sz w:val="24"/>
          <w:vertAlign w:val="superscript"/>
        </w:rPr>
        <w:footnoteReference w:id="105"/>
      </w:r>
      <w:r>
        <w:rPr>
          <w:rFonts w:ascii="Times New Roman" w:eastAsia="Times New Roman" w:hAnsi="Times New Roman" w:cs="Times New Roman"/>
          <w:sz w:val="24"/>
        </w:rPr>
        <w:t xml:space="preserve"> Just like the other critics I have examined here, Montesquieu associated commerce with immoral lending, commodification, and the decline of the classical virtues—or at least the threat of those outcomes.</w:t>
      </w:r>
      <w:r w:rsidR="005A4EC4">
        <w:t xml:space="preserve"> </w:t>
      </w:r>
      <w:r>
        <w:rPr>
          <w:rFonts w:ascii="Times New Roman" w:eastAsia="Times New Roman" w:hAnsi="Times New Roman" w:cs="Times New Roman"/>
          <w:sz w:val="24"/>
        </w:rPr>
        <w:t>Yet he also considered those potentially ill effects to be costs worth paying for commerce</w:t>
      </w:r>
      <w:r w:rsidR="00EB4910">
        <w:rPr>
          <w:rFonts w:ascii="Times New Roman" w:eastAsia="Times New Roman" w:hAnsi="Times New Roman" w:cs="Times New Roman"/>
          <w:sz w:val="24"/>
        </w:rPr>
        <w:t>’</w:t>
      </w:r>
      <w:r>
        <w:rPr>
          <w:rFonts w:ascii="Times New Roman" w:eastAsia="Times New Roman" w:hAnsi="Times New Roman" w:cs="Times New Roman"/>
          <w:sz w:val="24"/>
        </w:rPr>
        <w:t>s stabilizing effects. More importantly, he saw them as costs paid by commercial society as a whole, not as distortions of commerce imp</w:t>
      </w:r>
      <w:r w:rsidR="005A4EC4">
        <w:rPr>
          <w:rFonts w:ascii="Times New Roman" w:eastAsia="Times New Roman" w:hAnsi="Times New Roman" w:cs="Times New Roman"/>
          <w:sz w:val="24"/>
        </w:rPr>
        <w:t>osed by a calculating minority.</w:t>
      </w:r>
    </w:p>
    <w:p w14:paraId="3DF68943" w14:textId="72AD9591" w:rsidR="002F566E" w:rsidRDefault="009A1741" w:rsidP="00411136">
      <w:pPr>
        <w:pStyle w:val="normal0"/>
        <w:spacing w:line="240" w:lineRule="auto"/>
        <w:ind w:firstLine="720"/>
        <w:contextualSpacing w:val="0"/>
      </w:pPr>
      <w:r>
        <w:rPr>
          <w:rFonts w:ascii="Times New Roman" w:eastAsia="Times New Roman" w:hAnsi="Times New Roman" w:cs="Times New Roman"/>
          <w:sz w:val="24"/>
        </w:rPr>
        <w:t>Montesquieu’s</w:t>
      </w:r>
      <w:r w:rsidR="004D3EAE">
        <w:rPr>
          <w:rFonts w:ascii="Times New Roman" w:eastAsia="Times New Roman" w:hAnsi="Times New Roman" w:cs="Times New Roman"/>
          <w:sz w:val="24"/>
        </w:rPr>
        <w:t xml:space="preserve"> refusal to scapegoat certainly cannot explain </w:t>
      </w:r>
      <w:r w:rsidR="005A4EC4">
        <w:rPr>
          <w:rFonts w:ascii="Times New Roman" w:eastAsia="Times New Roman" w:hAnsi="Times New Roman" w:cs="Times New Roman"/>
          <w:sz w:val="24"/>
        </w:rPr>
        <w:t xml:space="preserve">in its entirety </w:t>
      </w:r>
      <w:r w:rsidR="004D3EAE">
        <w:rPr>
          <w:rFonts w:ascii="Times New Roman" w:eastAsia="Times New Roman" w:hAnsi="Times New Roman" w:cs="Times New Roman"/>
          <w:sz w:val="24"/>
        </w:rPr>
        <w:t xml:space="preserve">his friendly attitude toward Jews; he might, for instance, have remained neutral toward </w:t>
      </w:r>
      <w:r w:rsidR="009E49ED">
        <w:rPr>
          <w:rFonts w:ascii="Times New Roman" w:eastAsia="Times New Roman" w:hAnsi="Times New Roman" w:cs="Times New Roman"/>
          <w:sz w:val="24"/>
        </w:rPr>
        <w:t>them</w:t>
      </w:r>
      <w:r w:rsidR="004D3EAE">
        <w:rPr>
          <w:rFonts w:ascii="Times New Roman" w:eastAsia="Times New Roman" w:hAnsi="Times New Roman" w:cs="Times New Roman"/>
          <w:sz w:val="24"/>
        </w:rPr>
        <w:t xml:space="preserve">. Judith N. Shklar attributes </w:t>
      </w:r>
      <w:r>
        <w:rPr>
          <w:rFonts w:ascii="Times New Roman" w:eastAsia="Times New Roman" w:hAnsi="Times New Roman" w:cs="Times New Roman"/>
          <w:sz w:val="24"/>
        </w:rPr>
        <w:t>Montesquieu’s</w:t>
      </w:r>
      <w:r w:rsidR="004D3EAE">
        <w:rPr>
          <w:rFonts w:ascii="Times New Roman" w:eastAsia="Times New Roman" w:hAnsi="Times New Roman" w:cs="Times New Roman"/>
          <w:sz w:val="24"/>
        </w:rPr>
        <w:t xml:space="preserve"> idealization of the Jewish people to his deep </w:t>
      </w:r>
      <w:r w:rsidR="004D3EAE">
        <w:rPr>
          <w:rFonts w:ascii="Times New Roman" w:eastAsia="Times New Roman" w:hAnsi="Times New Roman" w:cs="Times New Roman"/>
          <w:sz w:val="24"/>
        </w:rPr>
        <w:lastRenderedPageBreak/>
        <w:t>identification with the victims of cruelty.</w:t>
      </w:r>
      <w:r w:rsidR="004D3EAE">
        <w:rPr>
          <w:rFonts w:ascii="Times New Roman" w:eastAsia="Times New Roman" w:hAnsi="Times New Roman" w:cs="Times New Roman"/>
          <w:sz w:val="24"/>
          <w:vertAlign w:val="superscript"/>
        </w:rPr>
        <w:footnoteReference w:id="106"/>
      </w:r>
      <w:r w:rsidR="004D3EAE">
        <w:rPr>
          <w:rFonts w:ascii="Times New Roman" w:eastAsia="Times New Roman" w:hAnsi="Times New Roman" w:cs="Times New Roman"/>
          <w:sz w:val="24"/>
        </w:rPr>
        <w:t xml:space="preserve"> Scholars have also pointed to his greater comfort with cultural pluralism and diversity, in contrast to </w:t>
      </w:r>
      <w:r>
        <w:rPr>
          <w:rFonts w:ascii="Times New Roman" w:eastAsia="Times New Roman" w:hAnsi="Times New Roman" w:cs="Times New Roman"/>
          <w:sz w:val="24"/>
        </w:rPr>
        <w:t>Voltaire’s</w:t>
      </w:r>
      <w:r w:rsidR="004D3EAE">
        <w:rPr>
          <w:rFonts w:ascii="Times New Roman" w:eastAsia="Times New Roman" w:hAnsi="Times New Roman" w:cs="Times New Roman"/>
          <w:sz w:val="24"/>
        </w:rPr>
        <w:t xml:space="preserve"> universalism, which enabled him to appreciate </w:t>
      </w:r>
      <w:r>
        <w:rPr>
          <w:rFonts w:ascii="Times New Roman" w:eastAsia="Times New Roman" w:hAnsi="Times New Roman" w:cs="Times New Roman"/>
          <w:sz w:val="24"/>
        </w:rPr>
        <w:t>“</w:t>
      </w:r>
      <w:r w:rsidR="004D3EAE">
        <w:rPr>
          <w:rFonts w:ascii="Times New Roman" w:eastAsia="Times New Roman" w:hAnsi="Times New Roman" w:cs="Times New Roman"/>
          <w:sz w:val="24"/>
        </w:rPr>
        <w:t>the Jew and Judaism as one of the many valid forms of culture and religion</w:t>
      </w:r>
      <w:r>
        <w:rPr>
          <w:rFonts w:ascii="Times New Roman" w:eastAsia="Times New Roman" w:hAnsi="Times New Roman" w:cs="Times New Roman"/>
          <w:sz w:val="24"/>
        </w:rPr>
        <w:t>.”</w:t>
      </w:r>
      <w:r w:rsidR="004D3EAE">
        <w:rPr>
          <w:rFonts w:ascii="Times New Roman" w:eastAsia="Times New Roman" w:hAnsi="Times New Roman" w:cs="Times New Roman"/>
          <w:sz w:val="24"/>
          <w:vertAlign w:val="superscript"/>
        </w:rPr>
        <w:footnoteReference w:id="107"/>
      </w:r>
      <w:r w:rsidR="004D3EAE">
        <w:rPr>
          <w:rFonts w:ascii="Times New Roman" w:eastAsia="Times New Roman" w:hAnsi="Times New Roman" w:cs="Times New Roman"/>
          <w:sz w:val="24"/>
        </w:rPr>
        <w:t xml:space="preserve"> But it is also true that thinkers with stark views of the world tend to imagine equally stark enemies—a temptation to which Montesquieu was especially immune.</w:t>
      </w:r>
    </w:p>
    <w:p w14:paraId="35FC9A32" w14:textId="77777777" w:rsidR="002F566E" w:rsidRDefault="002F566E" w:rsidP="00411136">
      <w:pPr>
        <w:pStyle w:val="normal0"/>
        <w:spacing w:line="240" w:lineRule="auto"/>
        <w:contextualSpacing w:val="0"/>
      </w:pPr>
    </w:p>
    <w:p w14:paraId="36B43540" w14:textId="348C8A5E" w:rsidR="002F566E" w:rsidRDefault="004D3EAE" w:rsidP="00411136">
      <w:pPr>
        <w:pStyle w:val="normal0"/>
        <w:spacing w:line="240" w:lineRule="auto"/>
        <w:contextualSpacing w:val="0"/>
      </w:pPr>
      <w:r>
        <w:rPr>
          <w:rFonts w:ascii="Times New Roman" w:eastAsia="Times New Roman" w:hAnsi="Times New Roman" w:cs="Times New Roman"/>
          <w:b/>
          <w:sz w:val="24"/>
        </w:rPr>
        <w:t>Conclusion</w:t>
      </w:r>
    </w:p>
    <w:p w14:paraId="3A6B9DDC" w14:textId="78E777BA" w:rsidR="002F566E" w:rsidRDefault="004D3EAE" w:rsidP="00411136">
      <w:pPr>
        <w:pStyle w:val="normal0"/>
        <w:spacing w:line="240" w:lineRule="auto"/>
        <w:contextualSpacing w:val="0"/>
      </w:pPr>
      <w:r>
        <w:rPr>
          <w:rFonts w:ascii="Times New Roman" w:eastAsia="Times New Roman" w:hAnsi="Times New Roman" w:cs="Times New Roman"/>
          <w:sz w:val="24"/>
        </w:rPr>
        <w:t xml:space="preserve">Martha Nussbaum has observed that expressions of disgust for minorities—from gays and lesbians to Indian </w:t>
      </w:r>
      <w:r w:rsidR="009A1741">
        <w:rPr>
          <w:rFonts w:ascii="Times New Roman" w:eastAsia="Times New Roman" w:hAnsi="Times New Roman" w:cs="Times New Roman"/>
          <w:sz w:val="24"/>
        </w:rPr>
        <w:t>“</w:t>
      </w:r>
      <w:r>
        <w:rPr>
          <w:rFonts w:ascii="Times New Roman" w:eastAsia="Times New Roman" w:hAnsi="Times New Roman" w:cs="Times New Roman"/>
          <w:sz w:val="24"/>
        </w:rPr>
        <w:t>untouchables</w:t>
      </w:r>
      <w:r w:rsidR="009A1741">
        <w:rPr>
          <w:rFonts w:ascii="Times New Roman" w:eastAsia="Times New Roman" w:hAnsi="Times New Roman" w:cs="Times New Roman"/>
          <w:sz w:val="24"/>
        </w:rPr>
        <w:t>”</w:t>
      </w:r>
      <w:r>
        <w:rPr>
          <w:rFonts w:ascii="Times New Roman" w:eastAsia="Times New Roman" w:hAnsi="Times New Roman" w:cs="Times New Roman"/>
          <w:sz w:val="24"/>
        </w:rPr>
        <w:t xml:space="preserve">—often depend on </w:t>
      </w:r>
      <w:r w:rsidR="009A1741">
        <w:rPr>
          <w:rFonts w:ascii="Times New Roman" w:eastAsia="Times New Roman" w:hAnsi="Times New Roman" w:cs="Times New Roman"/>
          <w:sz w:val="24"/>
        </w:rPr>
        <w:t>“</w:t>
      </w:r>
      <w:r>
        <w:rPr>
          <w:rFonts w:ascii="Times New Roman" w:eastAsia="Times New Roman" w:hAnsi="Times New Roman" w:cs="Times New Roman"/>
          <w:sz w:val="24"/>
        </w:rPr>
        <w:t>a double fantasy: a fantasy of the dirtiness of the other and a fantasy of one</w:t>
      </w:r>
      <w:r w:rsidR="00EB4910">
        <w:rPr>
          <w:rFonts w:ascii="Times New Roman" w:eastAsia="Times New Roman" w:hAnsi="Times New Roman" w:cs="Times New Roman"/>
          <w:sz w:val="24"/>
        </w:rPr>
        <w:t>’</w:t>
      </w:r>
      <w:r>
        <w:rPr>
          <w:rFonts w:ascii="Times New Roman" w:eastAsia="Times New Roman" w:hAnsi="Times New Roman" w:cs="Times New Roman"/>
          <w:sz w:val="24"/>
        </w:rPr>
        <w:t>s own purity</w:t>
      </w:r>
      <w:r w:rsidR="009A1741">
        <w:rPr>
          <w:rFonts w:ascii="Times New Roman" w:eastAsia="Times New Roman" w:hAnsi="Times New Roman" w:cs="Times New Roman"/>
          <w:sz w:val="24"/>
        </w:rPr>
        <w:t>.”</w:t>
      </w:r>
      <w:r>
        <w:rPr>
          <w:rFonts w:ascii="Times New Roman" w:eastAsia="Times New Roman" w:hAnsi="Times New Roman" w:cs="Times New Roman"/>
          <w:sz w:val="24"/>
        </w:rPr>
        <w:t xml:space="preserve"> In fact, exaggerations of the other</w:t>
      </w:r>
      <w:r w:rsidR="00EB4910">
        <w:rPr>
          <w:rFonts w:ascii="Times New Roman" w:eastAsia="Times New Roman" w:hAnsi="Times New Roman" w:cs="Times New Roman"/>
          <w:sz w:val="24"/>
        </w:rPr>
        <w:t>’</w:t>
      </w:r>
      <w:r>
        <w:rPr>
          <w:rFonts w:ascii="Times New Roman" w:eastAsia="Times New Roman" w:hAnsi="Times New Roman" w:cs="Times New Roman"/>
          <w:sz w:val="24"/>
        </w:rPr>
        <w:t xml:space="preserve">s depravity can be intensely gratifying: </w:t>
      </w:r>
      <w:r w:rsidR="009A1741">
        <w:rPr>
          <w:rFonts w:ascii="Times New Roman" w:eastAsia="Times New Roman" w:hAnsi="Times New Roman" w:cs="Times New Roman"/>
          <w:sz w:val="24"/>
        </w:rPr>
        <w:t>“</w:t>
      </w:r>
      <w:r>
        <w:rPr>
          <w:rFonts w:ascii="Times New Roman" w:eastAsia="Times New Roman" w:hAnsi="Times New Roman" w:cs="Times New Roman"/>
          <w:sz w:val="24"/>
        </w:rPr>
        <w:t>The intended reader is revolted, but at the same time comforted: I am nothing like this</w:t>
      </w:r>
      <w:r w:rsidR="009A1741">
        <w:rPr>
          <w:rFonts w:ascii="Times New Roman" w:eastAsia="Times New Roman" w:hAnsi="Times New Roman" w:cs="Times New Roman"/>
          <w:sz w:val="24"/>
        </w:rPr>
        <w:t>.”</w:t>
      </w:r>
      <w:r>
        <w:rPr>
          <w:rFonts w:ascii="Times New Roman" w:eastAsia="Times New Roman" w:hAnsi="Times New Roman" w:cs="Times New Roman"/>
          <w:sz w:val="24"/>
          <w:vertAlign w:val="superscript"/>
        </w:rPr>
        <w:footnoteReference w:id="108"/>
      </w:r>
    </w:p>
    <w:p w14:paraId="4D93D0F2" w14:textId="1BD6CE6B" w:rsidR="002F566E" w:rsidRDefault="004D3EAE" w:rsidP="00411136">
      <w:pPr>
        <w:pStyle w:val="normal0"/>
        <w:spacing w:line="240" w:lineRule="auto"/>
        <w:ind w:firstLine="720"/>
        <w:contextualSpacing w:val="0"/>
      </w:pPr>
      <w:r>
        <w:rPr>
          <w:rFonts w:ascii="Times New Roman" w:eastAsia="Times New Roman" w:hAnsi="Times New Roman" w:cs="Times New Roman"/>
          <w:sz w:val="24"/>
        </w:rPr>
        <w:t xml:space="preserve">I have argued that </w:t>
      </w:r>
      <w:r w:rsidR="009A1741">
        <w:rPr>
          <w:rFonts w:ascii="Times New Roman" w:eastAsia="Times New Roman" w:hAnsi="Times New Roman" w:cs="Times New Roman"/>
          <w:sz w:val="24"/>
        </w:rPr>
        <w:t>Voltaire’s</w:t>
      </w:r>
      <w:r>
        <w:rPr>
          <w:rFonts w:ascii="Times New Roman" w:eastAsia="Times New Roman" w:hAnsi="Times New Roman" w:cs="Times New Roman"/>
          <w:sz w:val="24"/>
        </w:rPr>
        <w:t xml:space="preserve"> writing on Jews was designed to elicit a similar reaction in his readers: </w:t>
      </w:r>
      <w:r w:rsidR="009A1741">
        <w:rPr>
          <w:rFonts w:ascii="Times New Roman" w:eastAsia="Times New Roman" w:hAnsi="Times New Roman" w:cs="Times New Roman"/>
          <w:sz w:val="24"/>
        </w:rPr>
        <w:t>“</w:t>
      </w:r>
      <w:r>
        <w:rPr>
          <w:rFonts w:ascii="Times New Roman" w:eastAsia="Times New Roman" w:hAnsi="Times New Roman" w:cs="Times New Roman"/>
          <w:sz w:val="24"/>
        </w:rPr>
        <w:t>We are nothing like this</w:t>
      </w:r>
      <w:r w:rsidR="009A1741">
        <w:rPr>
          <w:rFonts w:ascii="Times New Roman" w:eastAsia="Times New Roman" w:hAnsi="Times New Roman" w:cs="Times New Roman"/>
          <w:sz w:val="24"/>
        </w:rPr>
        <w:t>.”</w:t>
      </w:r>
      <w:r>
        <w:rPr>
          <w:rFonts w:ascii="Times New Roman" w:eastAsia="Times New Roman" w:hAnsi="Times New Roman" w:cs="Times New Roman"/>
          <w:sz w:val="24"/>
        </w:rPr>
        <w:t xml:space="preserve"> If Jewish commerce could be proven dirty, then the essence of commerce could be proven pure. Montesquieu was troubled by some of the very same aspects of commerce, yet his response was entirely different: </w:t>
      </w:r>
      <w:r w:rsidR="009A1741">
        <w:rPr>
          <w:rFonts w:ascii="Times New Roman" w:eastAsia="Times New Roman" w:hAnsi="Times New Roman" w:cs="Times New Roman"/>
          <w:sz w:val="24"/>
        </w:rPr>
        <w:t>“</w:t>
      </w:r>
      <w:r>
        <w:rPr>
          <w:rFonts w:ascii="Times New Roman" w:eastAsia="Times New Roman" w:hAnsi="Times New Roman" w:cs="Times New Roman"/>
          <w:sz w:val="24"/>
        </w:rPr>
        <w:t>We are, for better or worse, just like this</w:t>
      </w:r>
      <w:r w:rsidR="009A1741">
        <w:rPr>
          <w:rFonts w:ascii="Times New Roman" w:eastAsia="Times New Roman" w:hAnsi="Times New Roman" w:cs="Times New Roman"/>
          <w:sz w:val="24"/>
        </w:rPr>
        <w:t>.”</w:t>
      </w:r>
      <w:r>
        <w:rPr>
          <w:rFonts w:ascii="Times New Roman" w:eastAsia="Times New Roman" w:hAnsi="Times New Roman" w:cs="Times New Roman"/>
          <w:sz w:val="24"/>
        </w:rPr>
        <w:t xml:space="preserve"> That acceptance of responsibility is perhaps the beginning of tolerance.</w:t>
      </w:r>
    </w:p>
    <w:p w14:paraId="3AC3AD74" w14:textId="0ACED1A1" w:rsidR="002F566E" w:rsidRDefault="004D3EAE" w:rsidP="00411136">
      <w:pPr>
        <w:pStyle w:val="normal0"/>
        <w:spacing w:line="240" w:lineRule="auto"/>
        <w:ind w:firstLine="720"/>
        <w:contextualSpacing w:val="0"/>
      </w:pPr>
      <w:r>
        <w:rPr>
          <w:rFonts w:ascii="Times New Roman" w:eastAsia="Times New Roman" w:hAnsi="Times New Roman" w:cs="Times New Roman"/>
          <w:sz w:val="24"/>
        </w:rPr>
        <w:t xml:space="preserve">Like many utopian visions, </w:t>
      </w:r>
      <w:r w:rsidR="009A1741">
        <w:rPr>
          <w:rFonts w:ascii="Times New Roman" w:eastAsia="Times New Roman" w:hAnsi="Times New Roman" w:cs="Times New Roman"/>
          <w:sz w:val="24"/>
        </w:rPr>
        <w:t>Voltaire’s</w:t>
      </w:r>
      <w:r>
        <w:rPr>
          <w:rFonts w:ascii="Times New Roman" w:eastAsia="Times New Roman" w:hAnsi="Times New Roman" w:cs="Times New Roman"/>
          <w:sz w:val="24"/>
        </w:rPr>
        <w:t xml:space="preserve"> dream of commerce demanded enemies, whose disappearance would mark, and perhaps constitute, utopia</w:t>
      </w:r>
      <w:r w:rsidR="00EB4910">
        <w:rPr>
          <w:rFonts w:ascii="Times New Roman" w:eastAsia="Times New Roman" w:hAnsi="Times New Roman" w:cs="Times New Roman"/>
          <w:sz w:val="24"/>
        </w:rPr>
        <w:t>’</w:t>
      </w:r>
      <w:r>
        <w:rPr>
          <w:rFonts w:ascii="Times New Roman" w:eastAsia="Times New Roman" w:hAnsi="Times New Roman" w:cs="Times New Roman"/>
          <w:sz w:val="24"/>
        </w:rPr>
        <w:t xml:space="preserve">s inauguration. In fact, the purification of commerce would coincide with the gradual extinction of the Jews: </w:t>
      </w:r>
      <w:r w:rsidR="009A1741">
        <w:rPr>
          <w:rFonts w:ascii="Times New Roman" w:eastAsia="Times New Roman" w:hAnsi="Times New Roman" w:cs="Times New Roman"/>
          <w:sz w:val="24"/>
        </w:rPr>
        <w:t>“</w:t>
      </w:r>
      <w:r>
        <w:rPr>
          <w:rFonts w:ascii="Times New Roman" w:eastAsia="Times New Roman" w:hAnsi="Times New Roman" w:cs="Times New Roman"/>
          <w:sz w:val="24"/>
        </w:rPr>
        <w:t>When the society of man is perfected, when every people carries on its trade itself, no longer sharing the fruits of its work with these wandering brokers, the number of Jews will necessarily diminish</w:t>
      </w:r>
      <w:r w:rsidR="009A1741">
        <w:rPr>
          <w:rFonts w:ascii="Times New Roman" w:eastAsia="Times New Roman" w:hAnsi="Times New Roman" w:cs="Times New Roman"/>
          <w:sz w:val="24"/>
        </w:rPr>
        <w:t>.”</w:t>
      </w:r>
      <w:r>
        <w:rPr>
          <w:rFonts w:ascii="Times New Roman" w:eastAsia="Times New Roman" w:hAnsi="Times New Roman" w:cs="Times New Roman"/>
          <w:sz w:val="24"/>
          <w:vertAlign w:val="superscript"/>
        </w:rPr>
        <w:footnoteReference w:id="109"/>
      </w:r>
      <w:r>
        <w:rPr>
          <w:rFonts w:ascii="Times New Roman" w:eastAsia="Times New Roman" w:hAnsi="Times New Roman" w:cs="Times New Roman"/>
          <w:sz w:val="24"/>
        </w:rPr>
        <w:t xml:space="preserve"> Montesquieu might have responded that, even then, trade would be disruptive, sometimes corrupting, often unsavory, and yet still preferable to the alternatives. Purification was out of the question.</w:t>
      </w:r>
    </w:p>
    <w:p w14:paraId="7FE2174D" w14:textId="763B0BF4" w:rsidR="002F566E" w:rsidRDefault="004D3EAE" w:rsidP="00411136">
      <w:pPr>
        <w:pStyle w:val="normal0"/>
        <w:spacing w:line="240" w:lineRule="auto"/>
        <w:ind w:firstLine="720"/>
        <w:contextualSpacing w:val="0"/>
      </w:pPr>
      <w:r>
        <w:rPr>
          <w:rFonts w:ascii="Times New Roman" w:eastAsia="Times New Roman" w:hAnsi="Times New Roman" w:cs="Times New Roman"/>
          <w:sz w:val="24"/>
        </w:rPr>
        <w:t xml:space="preserve">The contrast between these two positions, and the implicit debate between the </w:t>
      </w:r>
      <w:r>
        <w:rPr>
          <w:rFonts w:ascii="Times New Roman" w:eastAsia="Times New Roman" w:hAnsi="Times New Roman" w:cs="Times New Roman"/>
          <w:i/>
          <w:sz w:val="24"/>
        </w:rPr>
        <w:t>philosophes</w:t>
      </w:r>
      <w:r>
        <w:rPr>
          <w:rFonts w:ascii="Times New Roman" w:eastAsia="Times New Roman" w:hAnsi="Times New Roman" w:cs="Times New Roman"/>
          <w:sz w:val="24"/>
        </w:rPr>
        <w:t xml:space="preserve"> who embodied them, is a matter of lasting relevance. We can better appreciate this relevance if we approach </w:t>
      </w:r>
      <w:r w:rsidR="009A1741">
        <w:rPr>
          <w:rFonts w:ascii="Times New Roman" w:eastAsia="Times New Roman" w:hAnsi="Times New Roman" w:cs="Times New Roman"/>
          <w:sz w:val="24"/>
        </w:rPr>
        <w:t>Voltaire’s</w:t>
      </w:r>
      <w:r>
        <w:rPr>
          <w:rFonts w:ascii="Times New Roman" w:eastAsia="Times New Roman" w:hAnsi="Times New Roman" w:cs="Times New Roman"/>
          <w:sz w:val="24"/>
        </w:rPr>
        <w:t xml:space="preserve"> and </w:t>
      </w:r>
      <w:r w:rsidR="009A1741">
        <w:rPr>
          <w:rFonts w:ascii="Times New Roman" w:eastAsia="Times New Roman" w:hAnsi="Times New Roman" w:cs="Times New Roman"/>
          <w:sz w:val="24"/>
        </w:rPr>
        <w:t>Montesquieu’s</w:t>
      </w:r>
      <w:r>
        <w:rPr>
          <w:rFonts w:ascii="Times New Roman" w:eastAsia="Times New Roman" w:hAnsi="Times New Roman" w:cs="Times New Roman"/>
          <w:sz w:val="24"/>
        </w:rPr>
        <w:t xml:space="preserve"> writing on commerce not simply as entries in isolated series of disputes, but as contributions to a common rhetorical project—one in which they marshaled different means toward a shared end. </w:t>
      </w:r>
      <w:r w:rsidR="00C8517D">
        <w:rPr>
          <w:rFonts w:ascii="Times New Roman" w:eastAsia="Times New Roman" w:hAnsi="Times New Roman" w:cs="Times New Roman"/>
          <w:sz w:val="24"/>
        </w:rPr>
        <w:t>B</w:t>
      </w:r>
      <w:r>
        <w:rPr>
          <w:rFonts w:ascii="Times New Roman" w:eastAsia="Times New Roman" w:hAnsi="Times New Roman" w:cs="Times New Roman"/>
          <w:sz w:val="24"/>
        </w:rPr>
        <w:t>oth Voltaire and Montesquieu spent considerable effort making the case for a set of concepts and institutions centrally identified with the liberal society and its economy. And they directed this case toward an often-skeptical audience—from Pope Benedict and his condemnation of lending at interest to classical republicans like Ferguson—still deeply attached to the pre-commercial world.</w:t>
      </w:r>
    </w:p>
    <w:p w14:paraId="1FA4CED9" w14:textId="2FC32C75" w:rsidR="002F566E" w:rsidRDefault="004D3EAE" w:rsidP="00411136">
      <w:pPr>
        <w:pStyle w:val="normal0"/>
        <w:spacing w:line="240" w:lineRule="auto"/>
        <w:ind w:firstLine="720"/>
        <w:contextualSpacing w:val="0"/>
      </w:pPr>
      <w:r>
        <w:rPr>
          <w:rFonts w:ascii="Times New Roman" w:eastAsia="Times New Roman" w:hAnsi="Times New Roman" w:cs="Times New Roman"/>
          <w:sz w:val="24"/>
        </w:rPr>
        <w:t xml:space="preserve">The work of </w:t>
      </w:r>
      <w:r w:rsidR="009A1741">
        <w:rPr>
          <w:rFonts w:ascii="Times New Roman" w:eastAsia="Times New Roman" w:hAnsi="Times New Roman" w:cs="Times New Roman"/>
          <w:sz w:val="24"/>
        </w:rPr>
        <w:t>“</w:t>
      </w:r>
      <w:r>
        <w:rPr>
          <w:rFonts w:ascii="Times New Roman" w:eastAsia="Times New Roman" w:hAnsi="Times New Roman" w:cs="Times New Roman"/>
          <w:sz w:val="24"/>
        </w:rPr>
        <w:t>selling</w:t>
      </w:r>
      <w:r w:rsidR="009A1741">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4A1846">
        <w:rPr>
          <w:rFonts w:ascii="Times New Roman" w:eastAsia="Times New Roman" w:hAnsi="Times New Roman" w:cs="Times New Roman"/>
          <w:sz w:val="24"/>
        </w:rPr>
        <w:t xml:space="preserve">these concepts and institutions </w:t>
      </w:r>
      <w:r>
        <w:rPr>
          <w:rFonts w:ascii="Times New Roman" w:eastAsia="Times New Roman" w:hAnsi="Times New Roman" w:cs="Times New Roman"/>
          <w:sz w:val="24"/>
        </w:rPr>
        <w:t xml:space="preserve">was not an abstract exercise in moral philosophy, but a practical appeal to a particular audience, in all of its prejudices </w:t>
      </w:r>
      <w:r>
        <w:rPr>
          <w:rFonts w:ascii="Times New Roman" w:eastAsia="Times New Roman" w:hAnsi="Times New Roman" w:cs="Times New Roman"/>
          <w:sz w:val="24"/>
        </w:rPr>
        <w:lastRenderedPageBreak/>
        <w:t>and preconceptions.</w:t>
      </w:r>
      <w:r>
        <w:rPr>
          <w:rFonts w:ascii="Times New Roman" w:eastAsia="Times New Roman" w:hAnsi="Times New Roman" w:cs="Times New Roman"/>
          <w:sz w:val="24"/>
          <w:vertAlign w:val="superscript"/>
        </w:rPr>
        <w:footnoteReference w:id="110"/>
      </w:r>
      <w:r>
        <w:rPr>
          <w:rFonts w:ascii="Times New Roman" w:eastAsia="Times New Roman" w:hAnsi="Times New Roman" w:cs="Times New Roman"/>
          <w:sz w:val="24"/>
        </w:rPr>
        <w:t xml:space="preserve"> As I argued above, the criticisms of commerce faced by Voltaire and Montesquieu could not be brushed aside or, perhaps, even refuted; given the audience to be persuaded, the criticisms had to be granted in some form. And we have seen how each writer responded to this argumentative constraint.</w:t>
      </w:r>
    </w:p>
    <w:p w14:paraId="10A027A3" w14:textId="40569310" w:rsidR="002F566E" w:rsidRDefault="004D3EAE" w:rsidP="00411136">
      <w:pPr>
        <w:pStyle w:val="normal0"/>
        <w:spacing w:line="240" w:lineRule="auto"/>
        <w:ind w:firstLine="720"/>
        <w:contextualSpacing w:val="0"/>
      </w:pPr>
      <w:r>
        <w:rPr>
          <w:rFonts w:ascii="Times New Roman" w:eastAsia="Times New Roman" w:hAnsi="Times New Roman" w:cs="Times New Roman"/>
          <w:sz w:val="24"/>
        </w:rPr>
        <w:t xml:space="preserve">The approach of Voltaire might, in an historical and ethical vacuum, seem immediately more promising. It offered its audience a glittering and uncomplicated </w:t>
      </w:r>
      <w:r w:rsidR="005723FA">
        <w:rPr>
          <w:rFonts w:ascii="Times New Roman" w:eastAsia="Times New Roman" w:hAnsi="Times New Roman" w:cs="Times New Roman"/>
          <w:sz w:val="24"/>
        </w:rPr>
        <w:t>economic vision</w:t>
      </w:r>
      <w:r>
        <w:rPr>
          <w:rFonts w:ascii="Times New Roman" w:eastAsia="Times New Roman" w:hAnsi="Times New Roman" w:cs="Times New Roman"/>
          <w:sz w:val="24"/>
        </w:rPr>
        <w:t xml:space="preserve">, along with the assurance that the commercial ills they saw around them could be safely attributed to a minority that was already, conveniently, despised. </w:t>
      </w:r>
      <w:r w:rsidR="009A1741">
        <w:rPr>
          <w:rFonts w:ascii="Times New Roman" w:eastAsia="Times New Roman" w:hAnsi="Times New Roman" w:cs="Times New Roman"/>
          <w:sz w:val="24"/>
        </w:rPr>
        <w:t>Montesquieu’s</w:t>
      </w:r>
      <w:r>
        <w:rPr>
          <w:rFonts w:ascii="Times New Roman" w:eastAsia="Times New Roman" w:hAnsi="Times New Roman" w:cs="Times New Roman"/>
          <w:sz w:val="24"/>
        </w:rPr>
        <w:t xml:space="preserve"> equivocal approach offered less clarity, was less assimilable to the everyday demands of politics, and asked its audience to consider the beam in its own eye. In fact, it is a sign of </w:t>
      </w:r>
      <w:r w:rsidR="009A1741">
        <w:rPr>
          <w:rFonts w:ascii="Times New Roman" w:eastAsia="Times New Roman" w:hAnsi="Times New Roman" w:cs="Times New Roman"/>
          <w:sz w:val="24"/>
        </w:rPr>
        <w:t>Montesquieu’s</w:t>
      </w:r>
      <w:r>
        <w:rPr>
          <w:rFonts w:ascii="Times New Roman" w:eastAsia="Times New Roman" w:hAnsi="Times New Roman" w:cs="Times New Roman"/>
          <w:sz w:val="24"/>
        </w:rPr>
        <w:t xml:space="preserve"> indirections that his position on commerce remains a matter of dispute to this day.</w:t>
      </w:r>
    </w:p>
    <w:p w14:paraId="6B1D52A8" w14:textId="45D01DBF" w:rsidR="002F566E" w:rsidRDefault="004D3EAE" w:rsidP="00411136">
      <w:pPr>
        <w:pStyle w:val="normal0"/>
        <w:spacing w:line="240" w:lineRule="auto"/>
        <w:ind w:firstLine="720"/>
        <w:contextualSpacing w:val="0"/>
      </w:pPr>
      <w:r>
        <w:rPr>
          <w:rFonts w:ascii="Times New Roman" w:eastAsia="Times New Roman" w:hAnsi="Times New Roman" w:cs="Times New Roman"/>
          <w:sz w:val="24"/>
        </w:rPr>
        <w:t>So one lesson of this comparison might be as follows: overpromise, establish the sharpest possible contrasts, and pin the faults in your own position wherever they can most conveniently be pinned. Such a strategy might appear justified when the cause of selling one</w:t>
      </w:r>
      <w:r w:rsidR="00EB4910">
        <w:rPr>
          <w:rFonts w:ascii="Times New Roman" w:eastAsia="Times New Roman" w:hAnsi="Times New Roman" w:cs="Times New Roman"/>
          <w:sz w:val="24"/>
        </w:rPr>
        <w:t>’</w:t>
      </w:r>
      <w:r>
        <w:rPr>
          <w:rFonts w:ascii="Times New Roman" w:eastAsia="Times New Roman" w:hAnsi="Times New Roman" w:cs="Times New Roman"/>
          <w:sz w:val="24"/>
        </w:rPr>
        <w:t xml:space="preserve">s own version of </w:t>
      </w:r>
      <w:r w:rsidR="004A1846">
        <w:rPr>
          <w:rFonts w:ascii="Times New Roman" w:eastAsia="Times New Roman" w:hAnsi="Times New Roman" w:cs="Times New Roman"/>
          <w:sz w:val="24"/>
        </w:rPr>
        <w:t>the future</w:t>
      </w:r>
      <w:r>
        <w:rPr>
          <w:rFonts w:ascii="Times New Roman" w:eastAsia="Times New Roman" w:hAnsi="Times New Roman" w:cs="Times New Roman"/>
          <w:sz w:val="24"/>
        </w:rPr>
        <w:t xml:space="preserve"> seems worthy and urgent enough. Yet when the promises come due, such an uncompromising strategy will leave intensified scapegoating as a necessary recourse. We see such scapegoating not only in </w:t>
      </w:r>
      <w:r w:rsidR="009A1741">
        <w:rPr>
          <w:rFonts w:ascii="Times New Roman" w:eastAsia="Times New Roman" w:hAnsi="Times New Roman" w:cs="Times New Roman"/>
          <w:sz w:val="24"/>
        </w:rPr>
        <w:t>Voltaire’s</w:t>
      </w:r>
      <w:r>
        <w:rPr>
          <w:rFonts w:ascii="Times New Roman" w:eastAsia="Times New Roman" w:hAnsi="Times New Roman" w:cs="Times New Roman"/>
          <w:sz w:val="24"/>
        </w:rPr>
        <w:t xml:space="preserve"> constant appeals to the evil of Jewish commerce, but as an ugly theme that often recurs when economic promises and economic reality fail to align, from anti-immigrant sentiment in times of economic distress, to Stalin</w:t>
      </w:r>
      <w:r w:rsidR="00EB4910">
        <w:rPr>
          <w:rFonts w:ascii="Times New Roman" w:eastAsia="Times New Roman" w:hAnsi="Times New Roman" w:cs="Times New Roman"/>
          <w:sz w:val="24"/>
        </w:rPr>
        <w:t>’</w:t>
      </w:r>
      <w:r>
        <w:rPr>
          <w:rFonts w:ascii="Times New Roman" w:eastAsia="Times New Roman" w:hAnsi="Times New Roman" w:cs="Times New Roman"/>
          <w:sz w:val="24"/>
        </w:rPr>
        <w:t xml:space="preserve">s constant invocations of Trotskyist saboteurs, to the </w:t>
      </w:r>
      <w:r w:rsidR="009A1741">
        <w:rPr>
          <w:rFonts w:ascii="Times New Roman" w:eastAsia="Times New Roman" w:hAnsi="Times New Roman" w:cs="Times New Roman"/>
          <w:sz w:val="24"/>
        </w:rPr>
        <w:t>“</w:t>
      </w:r>
      <w:r>
        <w:rPr>
          <w:rFonts w:ascii="Times New Roman" w:eastAsia="Times New Roman" w:hAnsi="Times New Roman" w:cs="Times New Roman"/>
          <w:sz w:val="24"/>
        </w:rPr>
        <w:t>anger and recrimination and...profoundly unsubtle introspection</w:t>
      </w:r>
      <w:r w:rsidR="009A1741">
        <w:rPr>
          <w:rFonts w:ascii="Times New Roman" w:eastAsia="Times New Roman" w:hAnsi="Times New Roman" w:cs="Times New Roman"/>
          <w:sz w:val="24"/>
        </w:rPr>
        <w:t>”</w:t>
      </w:r>
      <w:r>
        <w:rPr>
          <w:rFonts w:ascii="Times New Roman" w:eastAsia="Times New Roman" w:hAnsi="Times New Roman" w:cs="Times New Roman"/>
          <w:sz w:val="24"/>
        </w:rPr>
        <w:t xml:space="preserve"> that regularly succeed burst financial bubbles.</w:t>
      </w:r>
      <w:r>
        <w:rPr>
          <w:rFonts w:ascii="Times New Roman" w:eastAsia="Times New Roman" w:hAnsi="Times New Roman" w:cs="Times New Roman"/>
          <w:sz w:val="24"/>
          <w:vertAlign w:val="superscript"/>
        </w:rPr>
        <w:footnoteReference w:id="111"/>
      </w:r>
      <w:r>
        <w:rPr>
          <w:rFonts w:ascii="Times New Roman" w:eastAsia="Times New Roman" w:hAnsi="Times New Roman" w:cs="Times New Roman"/>
          <w:sz w:val="24"/>
        </w:rPr>
        <w:t xml:space="preserve"> The uncomplicated, maximally assertive approach, perfected by Voltaire but deployed many times since, reliably manufactures scapegoats. And I would contend that the most polemical </w:t>
      </w:r>
      <w:r w:rsidR="009A1741">
        <w:rPr>
          <w:rFonts w:ascii="Times New Roman" w:eastAsia="Times New Roman" w:hAnsi="Times New Roman" w:cs="Times New Roman"/>
          <w:sz w:val="24"/>
        </w:rPr>
        <w:t>“</w:t>
      </w:r>
      <w:r>
        <w:rPr>
          <w:rFonts w:ascii="Times New Roman" w:eastAsia="Times New Roman" w:hAnsi="Times New Roman" w:cs="Times New Roman"/>
          <w:sz w:val="24"/>
        </w:rPr>
        <w:t>salespeople</w:t>
      </w:r>
      <w:r w:rsidR="009A1741">
        <w:rPr>
          <w:rFonts w:ascii="Times New Roman" w:eastAsia="Times New Roman" w:hAnsi="Times New Roman" w:cs="Times New Roman"/>
          <w:sz w:val="24"/>
        </w:rPr>
        <w:t>”</w:t>
      </w:r>
      <w:r>
        <w:rPr>
          <w:rFonts w:ascii="Times New Roman" w:eastAsia="Times New Roman" w:hAnsi="Times New Roman" w:cs="Times New Roman"/>
          <w:sz w:val="24"/>
        </w:rPr>
        <w:t xml:space="preserve"> often underestimate the dangers that accompany Voltairean rhetoric.</w:t>
      </w:r>
    </w:p>
    <w:p w14:paraId="5EF8EAF2" w14:textId="22831D30" w:rsidR="002F566E" w:rsidRPr="001638B8" w:rsidRDefault="004D3EAE" w:rsidP="00411136">
      <w:pPr>
        <w:pStyle w:val="normal0"/>
        <w:spacing w:line="240" w:lineRule="auto"/>
        <w:ind w:firstLine="720"/>
        <w:contextualSpacing w:val="0"/>
        <w:rPr>
          <w:sz w:val="24"/>
        </w:rPr>
      </w:pPr>
      <w:r>
        <w:rPr>
          <w:rFonts w:ascii="Times New Roman" w:eastAsia="Times New Roman" w:hAnsi="Times New Roman" w:cs="Times New Roman"/>
          <w:sz w:val="24"/>
        </w:rPr>
        <w:t xml:space="preserve">I conclude, then, with the suggestion that the attitude of Montesquieu is a better candidate for emulation: not just for the </w:t>
      </w:r>
      <w:r w:rsidR="00343257">
        <w:rPr>
          <w:rFonts w:ascii="Times New Roman" w:eastAsia="Times New Roman" w:hAnsi="Times New Roman" w:cs="Times New Roman"/>
          <w:sz w:val="24"/>
        </w:rPr>
        <w:t>straightforward</w:t>
      </w:r>
      <w:r>
        <w:rPr>
          <w:rFonts w:ascii="Times New Roman" w:eastAsia="Times New Roman" w:hAnsi="Times New Roman" w:cs="Times New Roman"/>
          <w:sz w:val="24"/>
        </w:rPr>
        <w:t xml:space="preserve"> reason that it proved more tolerant, but for the perhaps less obvious reason that tolerance is a consequence of rhetorical self-doubt. That attitude would surely yield slower-acting, less spectacular results than the Voltairean approach. Yet Montesquieu thoroughly prepared his audience to accept the grave losses that accompanied the growth of commerce; he won greater credibility for his case by conceding its flaws; and he left an answer readily available for those occasions when Europe</w:t>
      </w:r>
      <w:r w:rsidR="00EB4910">
        <w:rPr>
          <w:rFonts w:ascii="Times New Roman" w:eastAsia="Times New Roman" w:hAnsi="Times New Roman" w:cs="Times New Roman"/>
          <w:sz w:val="24"/>
        </w:rPr>
        <w:t>’</w:t>
      </w:r>
      <w:r>
        <w:rPr>
          <w:rFonts w:ascii="Times New Roman" w:eastAsia="Times New Roman" w:hAnsi="Times New Roman" w:cs="Times New Roman"/>
          <w:sz w:val="24"/>
        </w:rPr>
        <w:t xml:space="preserve">s commercial transformation proved wrenching—namely, that he had promised nothing less. The greater humanity of </w:t>
      </w:r>
      <w:r>
        <w:rPr>
          <w:rFonts w:ascii="Times New Roman" w:eastAsia="Times New Roman" w:hAnsi="Times New Roman" w:cs="Times New Roman"/>
          <w:i/>
          <w:sz w:val="24"/>
        </w:rPr>
        <w:t>The Spirit of the Laws</w:t>
      </w:r>
      <w:r>
        <w:rPr>
          <w:rFonts w:ascii="Times New Roman" w:eastAsia="Times New Roman" w:hAnsi="Times New Roman" w:cs="Times New Roman"/>
          <w:sz w:val="24"/>
        </w:rPr>
        <w:t xml:space="preserve"> lies, I think, in its willingness to take the bad along with the good, and to own both: to welcome the transformation even in the knowledge that precious goods had been lost in the process. This humane, self-critical, gratification-delaying rhetoric </w:t>
      </w:r>
      <w:r w:rsidR="00F451B4">
        <w:rPr>
          <w:rFonts w:ascii="Times New Roman" w:eastAsia="Times New Roman" w:hAnsi="Times New Roman" w:cs="Times New Roman"/>
          <w:sz w:val="24"/>
        </w:rPr>
        <w:t xml:space="preserve">still </w:t>
      </w:r>
      <w:r>
        <w:rPr>
          <w:rFonts w:ascii="Times New Roman" w:eastAsia="Times New Roman" w:hAnsi="Times New Roman" w:cs="Times New Roman"/>
          <w:sz w:val="24"/>
        </w:rPr>
        <w:t>retains its value.</w:t>
      </w:r>
    </w:p>
    <w:p w14:paraId="122BBC91" w14:textId="77777777" w:rsidR="00D92BDB" w:rsidRDefault="00D92BDB" w:rsidP="00411136">
      <w:pPr>
        <w:pStyle w:val="normal0"/>
        <w:spacing w:line="240" w:lineRule="auto"/>
        <w:contextualSpacing w:val="0"/>
        <w:rPr>
          <w:rFonts w:ascii="Times New Roman" w:hAnsi="Times New Roman" w:cs="Times New Roman"/>
          <w:sz w:val="24"/>
        </w:rPr>
      </w:pPr>
    </w:p>
    <w:p w14:paraId="32EDBDC0" w14:textId="5BCCB2CF" w:rsidR="00D92BDB" w:rsidRPr="008618E9" w:rsidRDefault="00411136" w:rsidP="00411136">
      <w:pPr>
        <w:pStyle w:val="normal0"/>
        <w:spacing w:line="240" w:lineRule="auto"/>
        <w:contextualSpacing w:val="0"/>
        <w:rPr>
          <w:rFonts w:ascii="Times New Roman" w:hAnsi="Times New Roman" w:cs="Times New Roman"/>
          <w:sz w:val="24"/>
        </w:rPr>
      </w:pPr>
      <w:r>
        <w:rPr>
          <w:rFonts w:ascii="Times New Roman" w:hAnsi="Times New Roman" w:cs="Times New Roman"/>
          <w:sz w:val="24"/>
        </w:rPr>
        <w:t>Rob Goodman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COLUMBIA UNIVERSITY</w:t>
      </w:r>
    </w:p>
    <w:sectPr w:rsidR="00D92BDB" w:rsidRPr="008618E9" w:rsidSect="00D92BDB">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50251" w14:textId="77777777" w:rsidR="00F11556" w:rsidRDefault="00F11556">
      <w:r>
        <w:separator/>
      </w:r>
    </w:p>
  </w:endnote>
  <w:endnote w:type="continuationSeparator" w:id="0">
    <w:p w14:paraId="7C696EF2" w14:textId="77777777" w:rsidR="00F11556" w:rsidRDefault="00F1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C68B8" w14:textId="77777777" w:rsidR="00F11556" w:rsidRDefault="00F11556">
    <w:pPr>
      <w:pStyle w:val="normal0"/>
      <w:contextualSpacing w:val="0"/>
      <w:jc w:val="center"/>
    </w:pPr>
    <w:r>
      <w:fldChar w:fldCharType="begin"/>
    </w:r>
    <w:r>
      <w:instrText>PAGE</w:instrText>
    </w:r>
    <w:r>
      <w:fldChar w:fldCharType="separate"/>
    </w:r>
    <w:r w:rsidR="0002495D">
      <w:rPr>
        <w:noProof/>
      </w:rPr>
      <w:t>19</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4E581" w14:textId="77777777" w:rsidR="00F11556" w:rsidRDefault="00F11556">
      <w:r>
        <w:separator/>
      </w:r>
    </w:p>
  </w:footnote>
  <w:footnote w:type="continuationSeparator" w:id="0">
    <w:p w14:paraId="50C7B5CE" w14:textId="77777777" w:rsidR="00F11556" w:rsidRDefault="00F11556">
      <w:r>
        <w:continuationSeparator/>
      </w:r>
    </w:p>
  </w:footnote>
  <w:footnote w:id="1">
    <w:p w14:paraId="65B8B535" w14:textId="59146F90" w:rsidR="00F11556" w:rsidRPr="00C30612" w:rsidRDefault="00F11556">
      <w:pPr>
        <w:pStyle w:val="FootnoteText"/>
        <w:rPr>
          <w:rFonts w:ascii="Calibri" w:hAnsi="Calibri"/>
          <w:sz w:val="20"/>
          <w:szCs w:val="20"/>
        </w:rPr>
      </w:pPr>
      <w:r w:rsidRPr="00C30612">
        <w:rPr>
          <w:rStyle w:val="FootnoteReference"/>
          <w:rFonts w:ascii="Calibri" w:hAnsi="Calibri"/>
          <w:sz w:val="20"/>
          <w:szCs w:val="20"/>
        </w:rPr>
        <w:footnoteRef/>
      </w:r>
      <w:r w:rsidRPr="00C30612">
        <w:rPr>
          <w:rFonts w:ascii="Calibri" w:hAnsi="Calibri"/>
          <w:sz w:val="20"/>
          <w:szCs w:val="20"/>
        </w:rPr>
        <w:t xml:space="preserve"> </w:t>
      </w:r>
      <w:r w:rsidR="00AE3932">
        <w:rPr>
          <w:rFonts w:ascii="Calibri" w:hAnsi="Calibri"/>
          <w:sz w:val="20"/>
          <w:szCs w:val="20"/>
        </w:rPr>
        <w:t xml:space="preserve">Ph.D. Candidate, </w:t>
      </w:r>
      <w:r w:rsidRPr="00C30612">
        <w:rPr>
          <w:rFonts w:ascii="Calibri" w:hAnsi="Calibri"/>
          <w:sz w:val="20"/>
          <w:szCs w:val="20"/>
        </w:rPr>
        <w:t>Columbia University, Dept. of Political Science</w:t>
      </w:r>
      <w:r>
        <w:rPr>
          <w:rFonts w:ascii="Calibri" w:hAnsi="Calibri"/>
          <w:sz w:val="20"/>
          <w:szCs w:val="20"/>
        </w:rPr>
        <w:t>,</w:t>
      </w:r>
      <w:r w:rsidRPr="00C30612">
        <w:rPr>
          <w:rFonts w:ascii="Calibri" w:hAnsi="Calibri"/>
          <w:sz w:val="20"/>
          <w:szCs w:val="20"/>
        </w:rPr>
        <w:t xml:space="preserve"> 420 W 118</w:t>
      </w:r>
      <w:r w:rsidRPr="00C30612">
        <w:rPr>
          <w:rFonts w:ascii="Calibri" w:hAnsi="Calibri"/>
          <w:sz w:val="20"/>
          <w:szCs w:val="20"/>
          <w:vertAlign w:val="superscript"/>
        </w:rPr>
        <w:t>th</w:t>
      </w:r>
      <w:r w:rsidRPr="00C30612">
        <w:rPr>
          <w:rFonts w:ascii="Calibri" w:hAnsi="Calibri"/>
          <w:sz w:val="20"/>
          <w:szCs w:val="20"/>
        </w:rPr>
        <w:t xml:space="preserve"> St., Mail Code 3320, New York, NY 10027</w:t>
      </w:r>
      <w:r>
        <w:rPr>
          <w:rFonts w:ascii="Calibri" w:hAnsi="Calibri"/>
          <w:sz w:val="20"/>
          <w:szCs w:val="20"/>
        </w:rPr>
        <w:t>, USA</w:t>
      </w:r>
      <w:r w:rsidRPr="00C30612">
        <w:rPr>
          <w:rFonts w:ascii="Calibri" w:hAnsi="Calibri"/>
          <w:sz w:val="20"/>
          <w:szCs w:val="20"/>
        </w:rPr>
        <w:t>. Email: rg2803@columbia.edu.</w:t>
      </w:r>
    </w:p>
  </w:footnote>
  <w:footnote w:id="2">
    <w:p w14:paraId="0C857543" w14:textId="3EA6BE72" w:rsidR="00F11556" w:rsidRPr="00C30612" w:rsidRDefault="00F11556" w:rsidP="00C30612">
      <w:pPr>
        <w:rPr>
          <w:rFonts w:ascii="Calibri" w:eastAsia="Times New Roman" w:hAnsi="Calibri" w:cs="Times New Roman"/>
          <w:sz w:val="20"/>
          <w:szCs w:val="20"/>
          <w:lang w:eastAsia="en-US"/>
        </w:rPr>
      </w:pPr>
      <w:r w:rsidRPr="00C30612">
        <w:rPr>
          <w:rStyle w:val="FootnoteReference"/>
          <w:rFonts w:ascii="Calibri" w:hAnsi="Calibri"/>
          <w:sz w:val="20"/>
          <w:szCs w:val="20"/>
        </w:rPr>
        <w:footnoteRef/>
      </w:r>
      <w:r w:rsidRPr="00C30612">
        <w:rPr>
          <w:rFonts w:ascii="Calibri" w:hAnsi="Calibri"/>
          <w:sz w:val="20"/>
          <w:szCs w:val="20"/>
        </w:rPr>
        <w:t xml:space="preserve"> I would like to thank </w:t>
      </w:r>
      <w:r w:rsidRPr="00C30612">
        <w:rPr>
          <w:rFonts w:ascii="Calibri" w:eastAsia="Times New Roman" w:hAnsi="Calibri" w:cs="Arial"/>
          <w:sz w:val="20"/>
          <w:szCs w:val="20"/>
          <w:shd w:val="clear" w:color="auto" w:fill="FFFFFF"/>
          <w:lang w:eastAsia="en-US"/>
        </w:rPr>
        <w:t xml:space="preserve">Turkuler Isiksel </w:t>
      </w:r>
      <w:r w:rsidRPr="00C30612">
        <w:rPr>
          <w:rFonts w:ascii="Calibri" w:hAnsi="Calibri"/>
          <w:sz w:val="20"/>
          <w:szCs w:val="20"/>
        </w:rPr>
        <w:t xml:space="preserve">and Ronald Schechter for their helpful comments and encouragement during the preparation of this article. Thanks also to </w:t>
      </w:r>
      <w:r w:rsidRPr="00C30612">
        <w:rPr>
          <w:rFonts w:ascii="Calibri" w:hAnsi="Calibri"/>
          <w:i/>
          <w:sz w:val="20"/>
          <w:szCs w:val="20"/>
        </w:rPr>
        <w:t>History of Political Thought</w:t>
      </w:r>
      <w:r w:rsidRPr="00C30612">
        <w:rPr>
          <w:rFonts w:ascii="Calibri" w:hAnsi="Calibri"/>
          <w:sz w:val="20"/>
          <w:szCs w:val="20"/>
        </w:rPr>
        <w:t xml:space="preserve"> referees for their helpful suggestions.</w:t>
      </w:r>
    </w:p>
  </w:footnote>
  <w:footnote w:id="3">
    <w:p w14:paraId="32060F3A" w14:textId="4736BDE4" w:rsidR="00F11556" w:rsidRPr="00C30612" w:rsidRDefault="00F11556" w:rsidP="00D73567">
      <w:pPr>
        <w:pStyle w:val="normal0"/>
        <w:spacing w:line="240" w:lineRule="auto"/>
        <w:contextualSpacing w:val="0"/>
        <w:rPr>
          <w:rFonts w:ascii="Calibri" w:hAnsi="Calibr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Strictly speaking, it is anachronistic to describe </w:t>
      </w:r>
      <w:r>
        <w:rPr>
          <w:rFonts w:ascii="Calibri" w:hAnsi="Calibri"/>
          <w:color w:val="auto"/>
          <w:sz w:val="20"/>
          <w:szCs w:val="20"/>
        </w:rPr>
        <w:t>Voltaire’s</w:t>
      </w:r>
      <w:r w:rsidRPr="00C30612">
        <w:rPr>
          <w:rFonts w:ascii="Calibri" w:hAnsi="Calibri"/>
          <w:color w:val="auto"/>
          <w:sz w:val="20"/>
          <w:szCs w:val="20"/>
        </w:rPr>
        <w:t xml:space="preserve"> attitudes with a term that was not coined until the nineteenth century. However, I follow a number of Voltaire scholars, including Arthur Hertzberg, in using the term—both to serve concision and to suggest the extent to which </w:t>
      </w:r>
      <w:r>
        <w:rPr>
          <w:rFonts w:ascii="Calibri" w:hAnsi="Calibri"/>
          <w:color w:val="auto"/>
          <w:sz w:val="20"/>
          <w:szCs w:val="20"/>
        </w:rPr>
        <w:t>Voltaire’s</w:t>
      </w:r>
      <w:r w:rsidRPr="00C30612">
        <w:rPr>
          <w:rFonts w:ascii="Calibri" w:hAnsi="Calibri"/>
          <w:color w:val="auto"/>
          <w:sz w:val="20"/>
          <w:szCs w:val="20"/>
        </w:rPr>
        <w:t xml:space="preserve"> criticism of Jews was </w:t>
      </w:r>
      <w:r w:rsidR="00B715B5">
        <w:rPr>
          <w:rFonts w:ascii="Calibri" w:hAnsi="Calibri"/>
          <w:color w:val="auto"/>
          <w:sz w:val="20"/>
          <w:szCs w:val="20"/>
        </w:rPr>
        <w:t>founded on secular rather than religious grounds</w:t>
      </w:r>
      <w:r w:rsidRPr="00C30612">
        <w:rPr>
          <w:rFonts w:ascii="Calibri" w:hAnsi="Calibri"/>
          <w:color w:val="auto"/>
          <w:sz w:val="20"/>
          <w:szCs w:val="20"/>
        </w:rPr>
        <w:t>.</w:t>
      </w:r>
    </w:p>
  </w:footnote>
  <w:footnote w:id="4">
    <w:p w14:paraId="2D830195" w14:textId="6A72204A" w:rsidR="00F11556" w:rsidRPr="00C30612" w:rsidRDefault="00F11556" w:rsidP="00D73567">
      <w:pPr>
        <w:pStyle w:val="normal0"/>
        <w:spacing w:line="240" w:lineRule="auto"/>
        <w:contextualSpacing w:val="0"/>
        <w:rPr>
          <w:rFonts w:ascii="Calibri" w:hAnsi="Calibr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Jerry Z. Muller, </w:t>
      </w:r>
      <w:r w:rsidRPr="00C30612">
        <w:rPr>
          <w:rFonts w:ascii="Calibri" w:hAnsi="Calibri"/>
          <w:i/>
          <w:color w:val="auto"/>
          <w:sz w:val="20"/>
          <w:szCs w:val="20"/>
        </w:rPr>
        <w:t>Capitalism and the Jews</w:t>
      </w:r>
      <w:r w:rsidRPr="00C30612">
        <w:rPr>
          <w:rFonts w:ascii="Calibri" w:hAnsi="Calibri"/>
          <w:color w:val="auto"/>
          <w:sz w:val="20"/>
          <w:szCs w:val="20"/>
        </w:rPr>
        <w:t xml:space="preserve"> (Princeton, 2011), p. 15.</w:t>
      </w:r>
    </w:p>
  </w:footnote>
  <w:footnote w:id="5">
    <w:p w14:paraId="15E07EFB" w14:textId="710F9239" w:rsidR="00F11556" w:rsidRPr="00C30612" w:rsidRDefault="00F11556" w:rsidP="00D73567">
      <w:pPr>
        <w:pStyle w:val="normal0"/>
        <w:spacing w:line="240" w:lineRule="auto"/>
        <w:contextualSpacing w:val="0"/>
        <w:rPr>
          <w:rFonts w:ascii="Calibri" w:hAnsi="Calibr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Montesquieu, </w:t>
      </w:r>
      <w:r w:rsidRPr="00C30612">
        <w:rPr>
          <w:rFonts w:ascii="Calibri" w:hAnsi="Calibri"/>
          <w:i/>
          <w:color w:val="auto"/>
          <w:sz w:val="20"/>
          <w:szCs w:val="20"/>
        </w:rPr>
        <w:t>The Spirit of the Laws</w:t>
      </w:r>
      <w:r w:rsidRPr="00C30612">
        <w:rPr>
          <w:rFonts w:ascii="Calibri" w:hAnsi="Calibri"/>
          <w:color w:val="auto"/>
          <w:sz w:val="20"/>
          <w:szCs w:val="20"/>
        </w:rPr>
        <w:t>, ed. Anne M. Cohler et al. (Cambridge, 1989), p. 35.</w:t>
      </w:r>
    </w:p>
  </w:footnote>
  <w:footnote w:id="6">
    <w:p w14:paraId="60743275" w14:textId="0E5A10E8" w:rsidR="00F11556" w:rsidRPr="00C30612" w:rsidRDefault="00F11556" w:rsidP="00D73567">
      <w:pPr>
        <w:pStyle w:val="normal0"/>
        <w:spacing w:line="240" w:lineRule="auto"/>
        <w:contextualSpacing w:val="0"/>
        <w:rPr>
          <w:rFonts w:ascii="Calibri" w:hAnsi="Calibr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As in the saying, </w:t>
      </w:r>
      <w:r>
        <w:rPr>
          <w:rFonts w:ascii="Calibri" w:hAnsi="Calibri"/>
          <w:color w:val="auto"/>
          <w:sz w:val="20"/>
          <w:szCs w:val="20"/>
        </w:rPr>
        <w:t>“</w:t>
      </w:r>
      <w:r w:rsidRPr="00C30612">
        <w:rPr>
          <w:rFonts w:ascii="Calibri" w:hAnsi="Calibri"/>
          <w:color w:val="auto"/>
          <w:sz w:val="20"/>
          <w:szCs w:val="20"/>
        </w:rPr>
        <w:t>anti-Semitism is the socialism of fools</w:t>
      </w:r>
      <w:r>
        <w:rPr>
          <w:rFonts w:ascii="Calibri" w:hAnsi="Calibri"/>
          <w:color w:val="auto"/>
          <w:sz w:val="20"/>
          <w:szCs w:val="20"/>
        </w:rPr>
        <w:t>,”</w:t>
      </w:r>
      <w:r w:rsidRPr="00C30612">
        <w:rPr>
          <w:rFonts w:ascii="Calibri" w:hAnsi="Calibri"/>
          <w:color w:val="auto"/>
          <w:sz w:val="20"/>
          <w:szCs w:val="20"/>
        </w:rPr>
        <w:t xml:space="preserve"> attributed to Ferdinand Kronawetter.</w:t>
      </w:r>
    </w:p>
  </w:footnote>
  <w:footnote w:id="7">
    <w:p w14:paraId="64C09316" w14:textId="55A52A6C" w:rsidR="00F11556" w:rsidRPr="00C30612" w:rsidRDefault="00F11556" w:rsidP="00D73567">
      <w:pPr>
        <w:pStyle w:val="normal0"/>
        <w:spacing w:line="240" w:lineRule="auto"/>
        <w:contextualSpacing w:val="0"/>
        <w:rPr>
          <w:rFonts w:ascii="Calibri" w:hAnsi="Calibr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Dennis Prager and Joseph Telushkin, </w:t>
      </w:r>
      <w:r w:rsidRPr="00C30612">
        <w:rPr>
          <w:rFonts w:ascii="Calibri" w:hAnsi="Calibri"/>
          <w:i/>
          <w:color w:val="auto"/>
          <w:sz w:val="20"/>
          <w:szCs w:val="20"/>
        </w:rPr>
        <w:t>Why the Jews? The Reason for Antisemitism</w:t>
      </w:r>
      <w:r w:rsidRPr="00C30612">
        <w:rPr>
          <w:rFonts w:ascii="Calibri" w:hAnsi="Calibri"/>
          <w:color w:val="auto"/>
          <w:sz w:val="20"/>
          <w:szCs w:val="20"/>
        </w:rPr>
        <w:t>, 2nd ed. (New York, 2003), p. 115.</w:t>
      </w:r>
    </w:p>
  </w:footnote>
  <w:footnote w:id="8">
    <w:p w14:paraId="4AD79200" w14:textId="4C39C031" w:rsidR="00F11556" w:rsidRPr="00C30612" w:rsidRDefault="00F11556" w:rsidP="00D73567">
      <w:pPr>
        <w:pStyle w:val="normal0"/>
        <w:spacing w:line="240" w:lineRule="auto"/>
        <w:contextualSpacing w:val="0"/>
        <w:rPr>
          <w:rFonts w:ascii="Calibri" w:hAnsi="Calibr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Léon Poliakov, </w:t>
      </w:r>
      <w:r w:rsidRPr="00C30612">
        <w:rPr>
          <w:rFonts w:ascii="Calibri" w:hAnsi="Calibri"/>
          <w:i/>
          <w:color w:val="auto"/>
          <w:sz w:val="20"/>
          <w:szCs w:val="20"/>
        </w:rPr>
        <w:t>The History of Anti-Semitism, Vol. III: From Voltaire to Wagner</w:t>
      </w:r>
      <w:r w:rsidRPr="00C30612">
        <w:rPr>
          <w:rFonts w:ascii="Calibri" w:hAnsi="Calibri"/>
          <w:color w:val="auto"/>
          <w:sz w:val="20"/>
          <w:szCs w:val="20"/>
        </w:rPr>
        <w:t>, trans. Miriam Kochan (Philadelphia, 2003), p. 88.</w:t>
      </w:r>
    </w:p>
  </w:footnote>
  <w:footnote w:id="9">
    <w:p w14:paraId="4B08F020" w14:textId="398D46AB" w:rsidR="00F11556" w:rsidRPr="00C30612" w:rsidRDefault="00F11556" w:rsidP="00D73567">
      <w:pPr>
        <w:pStyle w:val="normal0"/>
        <w:spacing w:line="240" w:lineRule="auto"/>
        <w:contextualSpacing w:val="0"/>
        <w:rPr>
          <w:rFonts w:ascii="Calibri" w:hAnsi="Calibr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Ronald Schechter, </w:t>
      </w:r>
      <w:r>
        <w:rPr>
          <w:rFonts w:ascii="Calibri" w:hAnsi="Calibri"/>
          <w:color w:val="auto"/>
          <w:sz w:val="20"/>
          <w:szCs w:val="20"/>
        </w:rPr>
        <w:t>“</w:t>
      </w:r>
      <w:r w:rsidRPr="00C30612">
        <w:rPr>
          <w:rFonts w:ascii="Calibri" w:hAnsi="Calibri"/>
          <w:color w:val="auto"/>
          <w:sz w:val="20"/>
          <w:szCs w:val="20"/>
        </w:rPr>
        <w:t>The Jewish Question in Eighteenth-Century France</w:t>
      </w:r>
      <w:r>
        <w:rPr>
          <w:rFonts w:ascii="Calibri" w:hAnsi="Calibri"/>
          <w:color w:val="auto"/>
          <w:sz w:val="20"/>
          <w:szCs w:val="20"/>
        </w:rPr>
        <w:t>,”</w:t>
      </w:r>
      <w:r w:rsidRPr="00C30612">
        <w:rPr>
          <w:rFonts w:ascii="Calibri" w:hAnsi="Calibri"/>
          <w:color w:val="auto"/>
          <w:sz w:val="20"/>
          <w:szCs w:val="20"/>
        </w:rPr>
        <w:t xml:space="preserve"> </w:t>
      </w:r>
      <w:r w:rsidRPr="00C30612">
        <w:rPr>
          <w:rFonts w:ascii="Calibri" w:hAnsi="Calibri"/>
          <w:i/>
          <w:color w:val="auto"/>
          <w:sz w:val="20"/>
          <w:szCs w:val="20"/>
        </w:rPr>
        <w:t>Eighteenth-Century Studies</w:t>
      </w:r>
      <w:r w:rsidRPr="00C30612">
        <w:rPr>
          <w:rFonts w:ascii="Calibri" w:hAnsi="Calibri"/>
          <w:color w:val="auto"/>
          <w:sz w:val="20"/>
          <w:szCs w:val="20"/>
        </w:rPr>
        <w:t xml:space="preserve"> 32 (1) (1998), pp. 84-91, p. 85. While Voltaire accounts for some forty percent of eighteenth-century mentions of </w:t>
      </w:r>
      <w:r>
        <w:rPr>
          <w:rFonts w:ascii="Calibri" w:hAnsi="Calibri"/>
          <w:color w:val="auto"/>
          <w:sz w:val="20"/>
          <w:szCs w:val="20"/>
        </w:rPr>
        <w:t>“</w:t>
      </w:r>
      <w:r w:rsidRPr="00C30612">
        <w:rPr>
          <w:rFonts w:ascii="Calibri" w:hAnsi="Calibri"/>
          <w:i/>
          <w:color w:val="auto"/>
          <w:sz w:val="20"/>
          <w:szCs w:val="20"/>
        </w:rPr>
        <w:t>juif[s]</w:t>
      </w:r>
      <w:r>
        <w:rPr>
          <w:rFonts w:ascii="Calibri" w:hAnsi="Calibri"/>
          <w:color w:val="auto"/>
          <w:sz w:val="20"/>
          <w:szCs w:val="20"/>
        </w:rPr>
        <w:t>”</w:t>
      </w:r>
      <w:r w:rsidRPr="00C30612">
        <w:rPr>
          <w:rFonts w:ascii="Calibri" w:hAnsi="Calibri"/>
          <w:color w:val="auto"/>
          <w:sz w:val="20"/>
          <w:szCs w:val="20"/>
        </w:rPr>
        <w:t xml:space="preserve"> or </w:t>
      </w:r>
      <w:r>
        <w:rPr>
          <w:rFonts w:ascii="Calibri" w:hAnsi="Calibri"/>
          <w:color w:val="auto"/>
          <w:sz w:val="20"/>
          <w:szCs w:val="20"/>
        </w:rPr>
        <w:t>“</w:t>
      </w:r>
      <w:r w:rsidRPr="00C30612">
        <w:rPr>
          <w:rFonts w:ascii="Calibri" w:hAnsi="Calibri"/>
          <w:i/>
          <w:color w:val="auto"/>
          <w:sz w:val="20"/>
          <w:szCs w:val="20"/>
        </w:rPr>
        <w:t>juive[s]</w:t>
      </w:r>
      <w:r>
        <w:rPr>
          <w:rFonts w:ascii="Calibri" w:hAnsi="Calibri"/>
          <w:color w:val="auto"/>
          <w:sz w:val="20"/>
          <w:szCs w:val="20"/>
        </w:rPr>
        <w:t>”</w:t>
      </w:r>
      <w:r w:rsidRPr="00C30612">
        <w:rPr>
          <w:rFonts w:ascii="Calibri" w:hAnsi="Calibri"/>
          <w:color w:val="auto"/>
          <w:sz w:val="20"/>
          <w:szCs w:val="20"/>
        </w:rPr>
        <w:t xml:space="preserve"> in the ARTFL, and a disproportionate share by any measure, </w:t>
      </w:r>
      <w:r>
        <w:rPr>
          <w:rFonts w:ascii="Calibri" w:hAnsi="Calibri"/>
          <w:color w:val="auto"/>
          <w:sz w:val="20"/>
          <w:szCs w:val="20"/>
        </w:rPr>
        <w:t>Voltaire’s</w:t>
      </w:r>
      <w:r w:rsidRPr="00C30612">
        <w:rPr>
          <w:rFonts w:ascii="Calibri" w:hAnsi="Calibri"/>
          <w:color w:val="auto"/>
          <w:sz w:val="20"/>
          <w:szCs w:val="20"/>
        </w:rPr>
        <w:t xml:space="preserve"> work may also be overrepresented in the database, potentially inflating the proportion. (Thanks to Ronald Schechter for clarifying this point.) In any case, Voltaire </w:t>
      </w:r>
      <w:r>
        <w:rPr>
          <w:rFonts w:ascii="Calibri" w:hAnsi="Calibri"/>
          <w:color w:val="auto"/>
          <w:sz w:val="20"/>
          <w:szCs w:val="20"/>
        </w:rPr>
        <w:t>“</w:t>
      </w:r>
      <w:r w:rsidRPr="00C30612">
        <w:rPr>
          <w:rFonts w:ascii="Calibri" w:hAnsi="Calibri"/>
          <w:color w:val="auto"/>
          <w:sz w:val="20"/>
          <w:szCs w:val="20"/>
        </w:rPr>
        <w:t xml:space="preserve">wrote the word </w:t>
      </w:r>
      <w:r w:rsidRPr="00C30612">
        <w:rPr>
          <w:rFonts w:ascii="Calibri" w:hAnsi="Calibri"/>
          <w:i/>
          <w:color w:val="auto"/>
          <w:sz w:val="20"/>
          <w:szCs w:val="20"/>
        </w:rPr>
        <w:t>Jew</w:t>
      </w:r>
      <w:r w:rsidRPr="00C30612">
        <w:rPr>
          <w:rFonts w:ascii="Calibri" w:hAnsi="Calibri"/>
          <w:color w:val="auto"/>
          <w:sz w:val="20"/>
          <w:szCs w:val="20"/>
        </w:rPr>
        <w:t xml:space="preserve">, </w:t>
      </w:r>
      <w:r w:rsidRPr="00C30612">
        <w:rPr>
          <w:rFonts w:ascii="Calibri" w:hAnsi="Calibri"/>
          <w:i/>
          <w:color w:val="auto"/>
          <w:sz w:val="20"/>
          <w:szCs w:val="20"/>
        </w:rPr>
        <w:t>Jews</w:t>
      </w:r>
      <w:r w:rsidRPr="00C30612">
        <w:rPr>
          <w:rFonts w:ascii="Calibri" w:hAnsi="Calibri"/>
          <w:color w:val="auto"/>
          <w:sz w:val="20"/>
          <w:szCs w:val="20"/>
        </w:rPr>
        <w:t xml:space="preserve">, or </w:t>
      </w:r>
      <w:r w:rsidRPr="00C30612">
        <w:rPr>
          <w:rFonts w:ascii="Calibri" w:hAnsi="Calibri"/>
          <w:i/>
          <w:color w:val="auto"/>
          <w:sz w:val="20"/>
          <w:szCs w:val="20"/>
        </w:rPr>
        <w:t>Jewish</w:t>
      </w:r>
      <w:r w:rsidRPr="00C30612">
        <w:rPr>
          <w:rFonts w:ascii="Calibri" w:hAnsi="Calibri"/>
          <w:color w:val="auto"/>
          <w:sz w:val="20"/>
          <w:szCs w:val="20"/>
        </w:rPr>
        <w:t xml:space="preserve"> on average nearly once a week during his very long adult life</w:t>
      </w:r>
      <w:r>
        <w:rPr>
          <w:rFonts w:ascii="Calibri" w:hAnsi="Calibri"/>
          <w:color w:val="auto"/>
          <w:sz w:val="20"/>
          <w:szCs w:val="20"/>
        </w:rPr>
        <w:t>”</w:t>
      </w:r>
      <w:r w:rsidRPr="00C30612">
        <w:rPr>
          <w:rFonts w:ascii="Calibri" w:hAnsi="Calibri"/>
          <w:color w:val="auto"/>
          <w:sz w:val="20"/>
          <w:szCs w:val="20"/>
        </w:rPr>
        <w:t xml:space="preserve">; Schechter, </w:t>
      </w:r>
      <w:r w:rsidRPr="00C30612">
        <w:rPr>
          <w:rFonts w:ascii="Calibri" w:hAnsi="Calibri"/>
          <w:i/>
          <w:color w:val="auto"/>
          <w:sz w:val="20"/>
          <w:szCs w:val="20"/>
        </w:rPr>
        <w:t>Obstinate Hebrews: Representations of Jews in France, 1715-1815</w:t>
      </w:r>
      <w:r w:rsidRPr="00C30612">
        <w:rPr>
          <w:rFonts w:ascii="Calibri" w:hAnsi="Calibri"/>
          <w:color w:val="auto"/>
          <w:sz w:val="20"/>
          <w:szCs w:val="20"/>
        </w:rPr>
        <w:t xml:space="preserve"> (Berkeley, 2003), p. 46.</w:t>
      </w:r>
    </w:p>
  </w:footnote>
  <w:footnote w:id="10">
    <w:p w14:paraId="30F0EB92" w14:textId="1C181B3A" w:rsidR="00F11556" w:rsidRPr="00C30612" w:rsidRDefault="00F11556" w:rsidP="00D73567">
      <w:pPr>
        <w:pStyle w:val="normal0"/>
        <w:spacing w:line="240" w:lineRule="auto"/>
        <w:contextualSpacing w:val="0"/>
        <w:rPr>
          <w:rFonts w:ascii="Calibri" w:hAnsi="Calibr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Voltaire, </w:t>
      </w:r>
      <w:r w:rsidRPr="00C30612">
        <w:rPr>
          <w:rFonts w:ascii="Calibri" w:hAnsi="Calibri"/>
          <w:i/>
          <w:color w:val="auto"/>
          <w:sz w:val="20"/>
          <w:szCs w:val="20"/>
        </w:rPr>
        <w:t>Sermon du Rabbin Akib</w:t>
      </w:r>
      <w:r w:rsidRPr="00C30612">
        <w:rPr>
          <w:rFonts w:ascii="Calibri" w:hAnsi="Calibri"/>
          <w:color w:val="auto"/>
          <w:sz w:val="20"/>
          <w:szCs w:val="20"/>
        </w:rPr>
        <w:t xml:space="preserve">, in </w:t>
      </w:r>
      <w:r w:rsidRPr="00C30612">
        <w:rPr>
          <w:rFonts w:ascii="Calibri" w:hAnsi="Calibri"/>
          <w:i/>
          <w:color w:val="auto"/>
          <w:sz w:val="20"/>
          <w:szCs w:val="20"/>
        </w:rPr>
        <w:t>Oeuvres complètes</w:t>
      </w:r>
      <w:r>
        <w:rPr>
          <w:rFonts w:ascii="Calibri" w:hAnsi="Calibri"/>
          <w:color w:val="auto"/>
          <w:sz w:val="20"/>
          <w:szCs w:val="20"/>
        </w:rPr>
        <w:t>, vol. 24</w:t>
      </w:r>
      <w:r w:rsidRPr="00C30612">
        <w:rPr>
          <w:rFonts w:ascii="Calibri" w:hAnsi="Calibri"/>
          <w:color w:val="auto"/>
          <w:sz w:val="20"/>
          <w:szCs w:val="20"/>
        </w:rPr>
        <w:t>, ed. Louis Moland (Paris, 1877-85), p. 281.</w:t>
      </w:r>
    </w:p>
  </w:footnote>
  <w:footnote w:id="11">
    <w:p w14:paraId="258A01C1" w14:textId="401BDD16" w:rsidR="00F11556" w:rsidRPr="00C30612" w:rsidRDefault="00F11556" w:rsidP="00D73567">
      <w:pPr>
        <w:pStyle w:val="normal0"/>
        <w:spacing w:line="240" w:lineRule="auto"/>
        <w:contextualSpacing w:val="0"/>
        <w:rPr>
          <w:rFonts w:ascii="Calibri" w:hAnsi="Calibr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Voltaire, </w:t>
      </w:r>
      <w:r w:rsidRPr="00C30612">
        <w:rPr>
          <w:rFonts w:ascii="Calibri" w:hAnsi="Calibri"/>
          <w:i/>
          <w:color w:val="auto"/>
          <w:sz w:val="20"/>
          <w:szCs w:val="20"/>
        </w:rPr>
        <w:t>Philosophical Dictionary</w:t>
      </w:r>
      <w:r w:rsidRPr="00C30612">
        <w:rPr>
          <w:rFonts w:ascii="Calibri" w:hAnsi="Calibri"/>
          <w:color w:val="auto"/>
          <w:sz w:val="20"/>
          <w:szCs w:val="20"/>
        </w:rPr>
        <w:t>, trans. anon. (Boston, 1852), p. 68.</w:t>
      </w:r>
    </w:p>
  </w:footnote>
  <w:footnote w:id="12">
    <w:p w14:paraId="3A72080E" w14:textId="65C6EE02" w:rsidR="00F11556" w:rsidRPr="00C30612" w:rsidRDefault="00F11556" w:rsidP="00D73567">
      <w:pPr>
        <w:pStyle w:val="normal0"/>
        <w:spacing w:line="240" w:lineRule="auto"/>
        <w:contextualSpacing w:val="0"/>
        <w:rPr>
          <w:rFonts w:ascii="Calibri" w:hAnsi="Calibr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Adam Sutcliffe, </w:t>
      </w:r>
      <w:r>
        <w:rPr>
          <w:rFonts w:ascii="Calibri" w:hAnsi="Calibri"/>
          <w:color w:val="auto"/>
          <w:sz w:val="20"/>
          <w:szCs w:val="20"/>
        </w:rPr>
        <w:t>“</w:t>
      </w:r>
      <w:r w:rsidRPr="00C30612">
        <w:rPr>
          <w:rFonts w:ascii="Calibri" w:hAnsi="Calibri"/>
          <w:color w:val="auto"/>
          <w:sz w:val="20"/>
          <w:szCs w:val="20"/>
        </w:rPr>
        <w:t>Can a Jew Be a Philosophe? Isaac de Pinto, Voltaire, and Jewish Participation in the European Enlightenment</w:t>
      </w:r>
      <w:r>
        <w:rPr>
          <w:rFonts w:ascii="Calibri" w:hAnsi="Calibri"/>
          <w:color w:val="auto"/>
          <w:sz w:val="20"/>
          <w:szCs w:val="20"/>
        </w:rPr>
        <w:t>,”</w:t>
      </w:r>
      <w:r w:rsidRPr="00C30612">
        <w:rPr>
          <w:rFonts w:ascii="Calibri" w:hAnsi="Calibri"/>
          <w:color w:val="auto"/>
          <w:sz w:val="20"/>
          <w:szCs w:val="20"/>
        </w:rPr>
        <w:t xml:space="preserve"> </w:t>
      </w:r>
      <w:r w:rsidRPr="00C30612">
        <w:rPr>
          <w:rFonts w:ascii="Calibri" w:hAnsi="Calibri"/>
          <w:i/>
          <w:color w:val="auto"/>
          <w:sz w:val="20"/>
          <w:szCs w:val="20"/>
        </w:rPr>
        <w:t>Jewish Social Studies</w:t>
      </w:r>
      <w:r w:rsidRPr="00C30612">
        <w:rPr>
          <w:rFonts w:ascii="Calibri" w:hAnsi="Calibri"/>
          <w:color w:val="auto"/>
          <w:sz w:val="20"/>
          <w:szCs w:val="20"/>
        </w:rPr>
        <w:t xml:space="preserve"> 6 (3) (2000), pp. 31-51.</w:t>
      </w:r>
    </w:p>
  </w:footnote>
  <w:footnote w:id="13">
    <w:p w14:paraId="43ABCABE" w14:textId="4133F622" w:rsidR="00F11556" w:rsidRPr="00C30612" w:rsidRDefault="00F11556" w:rsidP="00D73567">
      <w:pPr>
        <w:pStyle w:val="normal0"/>
        <w:spacing w:line="240" w:lineRule="auto"/>
        <w:contextualSpacing w:val="0"/>
        <w:rPr>
          <w:rFonts w:ascii="Calibri" w:hAnsi="Calibr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Arnold Ages, </w:t>
      </w:r>
      <w:r>
        <w:rPr>
          <w:rFonts w:ascii="Calibri" w:hAnsi="Calibri"/>
          <w:color w:val="auto"/>
          <w:sz w:val="20"/>
          <w:szCs w:val="20"/>
        </w:rPr>
        <w:t>“</w:t>
      </w:r>
      <w:r w:rsidRPr="00C30612">
        <w:rPr>
          <w:rFonts w:ascii="Calibri" w:hAnsi="Calibri"/>
          <w:color w:val="auto"/>
          <w:sz w:val="20"/>
          <w:szCs w:val="20"/>
        </w:rPr>
        <w:t xml:space="preserve">Tainted Greatness: The Case of </w:t>
      </w:r>
      <w:r>
        <w:rPr>
          <w:rFonts w:ascii="Calibri" w:hAnsi="Calibri"/>
          <w:color w:val="auto"/>
          <w:sz w:val="20"/>
          <w:szCs w:val="20"/>
        </w:rPr>
        <w:t>Voltaire’s</w:t>
      </w:r>
      <w:r w:rsidRPr="00C30612">
        <w:rPr>
          <w:rFonts w:ascii="Calibri" w:hAnsi="Calibri"/>
          <w:color w:val="auto"/>
          <w:sz w:val="20"/>
          <w:szCs w:val="20"/>
        </w:rPr>
        <w:t xml:space="preserve"> Anti-Semitism</w:t>
      </w:r>
      <w:r>
        <w:rPr>
          <w:rFonts w:ascii="Calibri" w:hAnsi="Calibri"/>
          <w:color w:val="auto"/>
          <w:sz w:val="20"/>
          <w:szCs w:val="20"/>
        </w:rPr>
        <w:t>,”</w:t>
      </w:r>
      <w:r w:rsidRPr="00C30612">
        <w:rPr>
          <w:rFonts w:ascii="Calibri" w:hAnsi="Calibri"/>
          <w:color w:val="auto"/>
          <w:sz w:val="20"/>
          <w:szCs w:val="20"/>
        </w:rPr>
        <w:t xml:space="preserve"> </w:t>
      </w:r>
      <w:r w:rsidRPr="00C30612">
        <w:rPr>
          <w:rFonts w:ascii="Calibri" w:hAnsi="Calibri"/>
          <w:i/>
          <w:color w:val="auto"/>
          <w:sz w:val="20"/>
          <w:szCs w:val="20"/>
        </w:rPr>
        <w:t>Neohelicon</w:t>
      </w:r>
      <w:r w:rsidRPr="00C30612">
        <w:rPr>
          <w:rFonts w:ascii="Calibri" w:hAnsi="Calibri"/>
          <w:color w:val="auto"/>
          <w:sz w:val="20"/>
          <w:szCs w:val="20"/>
        </w:rPr>
        <w:t xml:space="preserve"> 21 (2) (1994), pp. 357-67, p. 359.</w:t>
      </w:r>
    </w:p>
  </w:footnote>
  <w:footnote w:id="14">
    <w:p w14:paraId="44CE1193" w14:textId="32DDFA40" w:rsidR="00F11556" w:rsidRPr="00C30612" w:rsidRDefault="00F11556" w:rsidP="00D73567">
      <w:pPr>
        <w:pStyle w:val="normal0"/>
        <w:spacing w:line="240" w:lineRule="auto"/>
        <w:contextualSpacing w:val="0"/>
        <w:rPr>
          <w:rFonts w:ascii="Calibri" w:hAnsi="Calibr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Arthur Hertzberg, </w:t>
      </w:r>
      <w:r w:rsidRPr="00C30612">
        <w:rPr>
          <w:rFonts w:ascii="Calibri" w:hAnsi="Calibri"/>
          <w:i/>
          <w:color w:val="auto"/>
          <w:sz w:val="20"/>
          <w:szCs w:val="20"/>
        </w:rPr>
        <w:t>The French Enlightenment and the Jews</w:t>
      </w:r>
      <w:r w:rsidRPr="00C30612">
        <w:rPr>
          <w:rFonts w:ascii="Calibri" w:hAnsi="Calibri"/>
          <w:color w:val="auto"/>
          <w:sz w:val="20"/>
          <w:szCs w:val="20"/>
        </w:rPr>
        <w:t xml:space="preserve">, 2nd ed. (New York, 1990), p. 286. Passages from Foissac, Guénée, Richard, and </w:t>
      </w:r>
      <w:r>
        <w:rPr>
          <w:rFonts w:ascii="Calibri" w:hAnsi="Calibri"/>
          <w:color w:val="auto"/>
          <w:sz w:val="20"/>
          <w:szCs w:val="20"/>
        </w:rPr>
        <w:t>Voltaire’s</w:t>
      </w:r>
      <w:r w:rsidRPr="00C30612">
        <w:rPr>
          <w:rFonts w:ascii="Calibri" w:hAnsi="Calibri"/>
          <w:color w:val="auto"/>
          <w:sz w:val="20"/>
          <w:szCs w:val="20"/>
        </w:rPr>
        <w:t xml:space="preserve"> </w:t>
      </w:r>
      <w:r w:rsidRPr="00C30612">
        <w:rPr>
          <w:rFonts w:ascii="Calibri" w:hAnsi="Calibri"/>
          <w:i/>
          <w:color w:val="auto"/>
          <w:sz w:val="20"/>
          <w:szCs w:val="20"/>
        </w:rPr>
        <w:t xml:space="preserve">Oeuvres complètes </w:t>
      </w:r>
      <w:r w:rsidRPr="00C30612">
        <w:rPr>
          <w:rFonts w:ascii="Calibri" w:hAnsi="Calibri"/>
          <w:color w:val="auto"/>
          <w:sz w:val="20"/>
          <w:szCs w:val="20"/>
        </w:rPr>
        <w:t xml:space="preserve">and </w:t>
      </w:r>
      <w:r w:rsidRPr="00C30612">
        <w:rPr>
          <w:rFonts w:ascii="Calibri" w:hAnsi="Calibri"/>
          <w:i/>
          <w:color w:val="auto"/>
          <w:sz w:val="20"/>
          <w:szCs w:val="20"/>
        </w:rPr>
        <w:t>Correspondence</w:t>
      </w:r>
      <w:r w:rsidRPr="00C30612">
        <w:rPr>
          <w:rFonts w:ascii="Calibri" w:hAnsi="Calibri"/>
          <w:color w:val="auto"/>
          <w:sz w:val="20"/>
          <w:szCs w:val="20"/>
        </w:rPr>
        <w:t xml:space="preserve"> have been translated by Hertzberg. The theologian Charles-Louis Richard also made a fictional Voltaire lament </w:t>
      </w:r>
      <w:r>
        <w:rPr>
          <w:rFonts w:ascii="Calibri" w:hAnsi="Calibri"/>
          <w:color w:val="auto"/>
          <w:sz w:val="20"/>
          <w:szCs w:val="20"/>
        </w:rPr>
        <w:t>“</w:t>
      </w:r>
      <w:r w:rsidRPr="00C30612">
        <w:rPr>
          <w:rFonts w:ascii="Calibri" w:hAnsi="Calibri"/>
          <w:color w:val="auto"/>
          <w:sz w:val="20"/>
          <w:szCs w:val="20"/>
        </w:rPr>
        <w:t>my bad faith, my calumnies, and all the other errors into which I had fallen when I spoke of the Jews</w:t>
      </w:r>
      <w:r>
        <w:rPr>
          <w:rFonts w:ascii="Calibri" w:hAnsi="Calibri"/>
          <w:color w:val="auto"/>
          <w:sz w:val="20"/>
          <w:szCs w:val="20"/>
        </w:rPr>
        <w:t>,”</w:t>
      </w:r>
      <w:r w:rsidRPr="00C30612">
        <w:rPr>
          <w:rFonts w:ascii="Calibri" w:hAnsi="Calibri"/>
          <w:color w:val="auto"/>
          <w:sz w:val="20"/>
          <w:szCs w:val="20"/>
        </w:rPr>
        <w:t xml:space="preserve"> in his 1775 </w:t>
      </w:r>
      <w:r w:rsidRPr="00C30612">
        <w:rPr>
          <w:rFonts w:ascii="Calibri" w:hAnsi="Calibri"/>
          <w:i/>
          <w:color w:val="auto"/>
          <w:sz w:val="20"/>
          <w:szCs w:val="20"/>
        </w:rPr>
        <w:t>Voltaire parmi les ombres</w:t>
      </w:r>
      <w:r w:rsidRPr="00C30612">
        <w:rPr>
          <w:rFonts w:ascii="Calibri" w:hAnsi="Calibri"/>
          <w:color w:val="auto"/>
          <w:sz w:val="20"/>
          <w:szCs w:val="20"/>
        </w:rPr>
        <w:t xml:space="preserve">. Richard, </w:t>
      </w:r>
      <w:r w:rsidRPr="00C30612">
        <w:rPr>
          <w:rFonts w:ascii="Calibri" w:hAnsi="Calibri"/>
          <w:i/>
          <w:color w:val="auto"/>
          <w:sz w:val="20"/>
          <w:szCs w:val="20"/>
        </w:rPr>
        <w:t>Voltaire parmi les ombres</w:t>
      </w:r>
      <w:r w:rsidRPr="00C30612">
        <w:rPr>
          <w:rFonts w:ascii="Calibri" w:hAnsi="Calibri"/>
          <w:color w:val="auto"/>
          <w:sz w:val="20"/>
          <w:szCs w:val="20"/>
        </w:rPr>
        <w:t xml:space="preserve"> (Paris: 1775).</w:t>
      </w:r>
    </w:p>
  </w:footnote>
  <w:footnote w:id="15">
    <w:p w14:paraId="3084FE6F" w14:textId="1CBC3ED8" w:rsidR="00F11556" w:rsidRPr="00C30612" w:rsidRDefault="00F11556" w:rsidP="00D73567">
      <w:pPr>
        <w:pStyle w:val="normal0"/>
        <w:spacing w:line="240" w:lineRule="auto"/>
        <w:contextualSpacing w:val="0"/>
        <w:rPr>
          <w:rFonts w:ascii="Calibri" w:hAnsi="Calibr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Shmuel Feiner, </w:t>
      </w:r>
      <w:r>
        <w:rPr>
          <w:rFonts w:ascii="Calibri" w:hAnsi="Calibri"/>
          <w:color w:val="auto"/>
          <w:sz w:val="20"/>
          <w:szCs w:val="20"/>
        </w:rPr>
        <w:t>“</w:t>
      </w:r>
      <w:r w:rsidRPr="00C30612">
        <w:rPr>
          <w:rFonts w:ascii="Calibri" w:hAnsi="Calibri"/>
          <w:color w:val="auto"/>
          <w:sz w:val="20"/>
          <w:szCs w:val="20"/>
        </w:rPr>
        <w:t xml:space="preserve">Review: </w:t>
      </w:r>
      <w:r w:rsidRPr="00C30612">
        <w:rPr>
          <w:rFonts w:ascii="Calibri" w:hAnsi="Calibri"/>
          <w:i/>
          <w:color w:val="auto"/>
          <w:sz w:val="20"/>
          <w:szCs w:val="20"/>
        </w:rPr>
        <w:t>Judaism and Enlightenment</w:t>
      </w:r>
      <w:r>
        <w:rPr>
          <w:rFonts w:ascii="Calibri" w:hAnsi="Calibri"/>
          <w:color w:val="auto"/>
          <w:sz w:val="20"/>
          <w:szCs w:val="20"/>
        </w:rPr>
        <w:t>,”</w:t>
      </w:r>
      <w:r w:rsidRPr="00C30612">
        <w:rPr>
          <w:rFonts w:ascii="Calibri" w:hAnsi="Calibri"/>
          <w:color w:val="auto"/>
          <w:sz w:val="20"/>
          <w:szCs w:val="20"/>
        </w:rPr>
        <w:t xml:space="preserve"> </w:t>
      </w:r>
      <w:r w:rsidRPr="00C30612">
        <w:rPr>
          <w:rFonts w:ascii="Calibri" w:hAnsi="Calibri"/>
          <w:i/>
          <w:color w:val="auto"/>
          <w:sz w:val="20"/>
          <w:szCs w:val="20"/>
        </w:rPr>
        <w:t>European History Quarterly</w:t>
      </w:r>
      <w:r w:rsidRPr="00C30612">
        <w:rPr>
          <w:rFonts w:ascii="Calibri" w:hAnsi="Calibri"/>
          <w:color w:val="auto"/>
          <w:sz w:val="20"/>
          <w:szCs w:val="20"/>
        </w:rPr>
        <w:t xml:space="preserve"> 35 (4) (2005), pp. 609-11, p. 610.</w:t>
      </w:r>
    </w:p>
  </w:footnote>
  <w:footnote w:id="16">
    <w:p w14:paraId="7921AD7B" w14:textId="0E4053FA" w:rsidR="00F11556" w:rsidRPr="00C30612" w:rsidRDefault="00F11556" w:rsidP="00D73567">
      <w:pPr>
        <w:pStyle w:val="normal0"/>
        <w:spacing w:line="240" w:lineRule="auto"/>
        <w:contextualSpacing w:val="0"/>
        <w:rPr>
          <w:rFonts w:ascii="Calibri" w:hAnsi="Calibr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Jacob Katz, </w:t>
      </w:r>
      <w:r w:rsidRPr="00C30612">
        <w:rPr>
          <w:rFonts w:ascii="Calibri" w:hAnsi="Calibri"/>
          <w:i/>
          <w:color w:val="auto"/>
          <w:sz w:val="20"/>
          <w:szCs w:val="20"/>
        </w:rPr>
        <w:t>From Prejudice to Destruction</w:t>
      </w:r>
      <w:r w:rsidRPr="00C30612">
        <w:rPr>
          <w:rFonts w:ascii="Calibri" w:hAnsi="Calibri"/>
          <w:color w:val="auto"/>
          <w:sz w:val="20"/>
          <w:szCs w:val="20"/>
        </w:rPr>
        <w:t xml:space="preserve"> (Cambridge, MA, 1980), p. 44.</w:t>
      </w:r>
    </w:p>
  </w:footnote>
  <w:footnote w:id="17">
    <w:p w14:paraId="291AD82E" w14:textId="79E91B25" w:rsidR="00F11556" w:rsidRPr="00C30612" w:rsidRDefault="00F11556" w:rsidP="00D73567">
      <w:pPr>
        <w:pStyle w:val="normal0"/>
        <w:spacing w:line="240" w:lineRule="auto"/>
        <w:contextualSpacing w:val="0"/>
        <w:rPr>
          <w:rFonts w:ascii="Calibri" w:hAnsi="Calibr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Henrich Graetz, </w:t>
      </w:r>
      <w:r>
        <w:rPr>
          <w:rFonts w:ascii="Calibri" w:hAnsi="Calibri"/>
          <w:color w:val="auto"/>
          <w:sz w:val="20"/>
          <w:szCs w:val="20"/>
        </w:rPr>
        <w:t>“</w:t>
      </w:r>
      <w:r w:rsidRPr="00C30612">
        <w:rPr>
          <w:rFonts w:ascii="Calibri" w:hAnsi="Calibri"/>
          <w:color w:val="auto"/>
          <w:sz w:val="20"/>
          <w:szCs w:val="20"/>
        </w:rPr>
        <w:t>Voltaire und die Juden</w:t>
      </w:r>
      <w:r>
        <w:rPr>
          <w:rFonts w:ascii="Calibri" w:hAnsi="Calibri"/>
          <w:color w:val="auto"/>
          <w:sz w:val="20"/>
          <w:szCs w:val="20"/>
        </w:rPr>
        <w:t>,”</w:t>
      </w:r>
      <w:r w:rsidRPr="00C30612">
        <w:rPr>
          <w:rFonts w:ascii="Calibri" w:hAnsi="Calibri"/>
          <w:color w:val="auto"/>
          <w:sz w:val="20"/>
          <w:szCs w:val="20"/>
        </w:rPr>
        <w:t xml:space="preserve"> </w:t>
      </w:r>
      <w:r w:rsidRPr="00C30612">
        <w:rPr>
          <w:rFonts w:ascii="Calibri" w:hAnsi="Calibri"/>
          <w:i/>
          <w:color w:val="auto"/>
          <w:sz w:val="20"/>
          <w:szCs w:val="20"/>
        </w:rPr>
        <w:t>MGWJ</w:t>
      </w:r>
      <w:r w:rsidRPr="00C30612">
        <w:rPr>
          <w:rFonts w:ascii="Calibri" w:hAnsi="Calibri"/>
          <w:color w:val="auto"/>
          <w:sz w:val="20"/>
          <w:szCs w:val="20"/>
        </w:rPr>
        <w:t xml:space="preserve"> 17 (1868), pp. 200-23; Wayne Andrews, </w:t>
      </w:r>
      <w:r w:rsidRPr="00C30612">
        <w:rPr>
          <w:rFonts w:ascii="Calibri" w:hAnsi="Calibri"/>
          <w:i/>
          <w:color w:val="auto"/>
          <w:sz w:val="20"/>
          <w:szCs w:val="20"/>
        </w:rPr>
        <w:t>Voltaire</w:t>
      </w:r>
      <w:r w:rsidRPr="00C30612">
        <w:rPr>
          <w:rFonts w:ascii="Calibri" w:hAnsi="Calibri"/>
          <w:color w:val="auto"/>
          <w:sz w:val="20"/>
          <w:szCs w:val="20"/>
        </w:rPr>
        <w:t xml:space="preserve"> (New York, 1981), p. 62.</w:t>
      </w:r>
    </w:p>
  </w:footnote>
  <w:footnote w:id="18">
    <w:p w14:paraId="05E41E34" w14:textId="2005833D" w:rsidR="00F11556" w:rsidRPr="00C30612" w:rsidRDefault="00F11556" w:rsidP="00D73567">
      <w:pPr>
        <w:pStyle w:val="normal0"/>
        <w:spacing w:line="240" w:lineRule="auto"/>
        <w:contextualSpacing w:val="0"/>
        <w:rPr>
          <w:rFonts w:ascii="Calibri" w:hAnsi="Calibr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Voltaire, </w:t>
      </w:r>
      <w:r w:rsidRPr="00C30612">
        <w:rPr>
          <w:rFonts w:ascii="Calibri" w:hAnsi="Calibri"/>
          <w:i/>
          <w:color w:val="auto"/>
          <w:sz w:val="20"/>
          <w:szCs w:val="20"/>
        </w:rPr>
        <w:t>Un chrétien contre six Juifs</w:t>
      </w:r>
      <w:r w:rsidRPr="00C30612">
        <w:rPr>
          <w:rFonts w:ascii="Calibri" w:hAnsi="Calibri"/>
          <w:color w:val="auto"/>
          <w:sz w:val="20"/>
          <w:szCs w:val="20"/>
        </w:rPr>
        <w:t xml:space="preserve">, in </w:t>
      </w:r>
      <w:r w:rsidRPr="00C30612">
        <w:rPr>
          <w:rFonts w:ascii="Calibri" w:hAnsi="Calibri"/>
          <w:i/>
          <w:color w:val="auto"/>
          <w:sz w:val="20"/>
          <w:szCs w:val="20"/>
        </w:rPr>
        <w:t>Oeuvres complètes</w:t>
      </w:r>
      <w:r>
        <w:rPr>
          <w:rFonts w:ascii="Calibri" w:hAnsi="Calibri"/>
          <w:color w:val="auto"/>
          <w:sz w:val="20"/>
          <w:szCs w:val="20"/>
        </w:rPr>
        <w:t>, vol. 29</w:t>
      </w:r>
      <w:r w:rsidRPr="00C30612">
        <w:rPr>
          <w:rFonts w:ascii="Calibri" w:hAnsi="Calibri"/>
          <w:color w:val="auto"/>
          <w:sz w:val="20"/>
          <w:szCs w:val="20"/>
        </w:rPr>
        <w:t>, p. 558.</w:t>
      </w:r>
    </w:p>
  </w:footnote>
  <w:footnote w:id="19">
    <w:p w14:paraId="1B675AEE" w14:textId="4171285A" w:rsidR="00F11556" w:rsidRPr="00C30612" w:rsidRDefault="00F11556" w:rsidP="00D73567">
      <w:pPr>
        <w:pStyle w:val="normal0"/>
        <w:spacing w:line="240" w:lineRule="auto"/>
        <w:contextualSpacing w:val="0"/>
        <w:rPr>
          <w:rFonts w:ascii="Calibri" w:hAnsi="Calibr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Peter Gay, </w:t>
      </w:r>
      <w:r w:rsidRPr="00C30612">
        <w:rPr>
          <w:rFonts w:ascii="Calibri" w:hAnsi="Calibri"/>
          <w:i/>
          <w:color w:val="auto"/>
          <w:sz w:val="20"/>
          <w:szCs w:val="20"/>
        </w:rPr>
        <w:t>The Party of Humanity</w:t>
      </w:r>
      <w:r w:rsidRPr="00C30612">
        <w:rPr>
          <w:rFonts w:ascii="Calibri" w:hAnsi="Calibri"/>
          <w:color w:val="auto"/>
          <w:sz w:val="20"/>
          <w:szCs w:val="20"/>
        </w:rPr>
        <w:t xml:space="preserve"> (New York, 1964), p. 103.</w:t>
      </w:r>
    </w:p>
  </w:footnote>
  <w:footnote w:id="20">
    <w:p w14:paraId="2095A275" w14:textId="23F8660A" w:rsidR="00F11556" w:rsidRPr="00C30612" w:rsidRDefault="00F11556" w:rsidP="00D73567">
      <w:pPr>
        <w:pStyle w:val="normal0"/>
        <w:spacing w:line="240" w:lineRule="auto"/>
        <w:contextualSpacing w:val="0"/>
        <w:rPr>
          <w:rFonts w:ascii="Calibri" w:hAnsi="Calibr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Ages, </w:t>
      </w:r>
      <w:r>
        <w:rPr>
          <w:rFonts w:ascii="Calibri" w:hAnsi="Calibri"/>
          <w:color w:val="auto"/>
          <w:sz w:val="20"/>
          <w:szCs w:val="20"/>
        </w:rPr>
        <w:t>“</w:t>
      </w:r>
      <w:r w:rsidRPr="00C30612">
        <w:rPr>
          <w:rFonts w:ascii="Calibri" w:hAnsi="Calibri"/>
          <w:color w:val="auto"/>
          <w:sz w:val="20"/>
          <w:szCs w:val="20"/>
        </w:rPr>
        <w:t>Tainted Greatness</w:t>
      </w:r>
      <w:r>
        <w:rPr>
          <w:rFonts w:ascii="Calibri" w:hAnsi="Calibri"/>
          <w:color w:val="auto"/>
          <w:sz w:val="20"/>
          <w:szCs w:val="20"/>
        </w:rPr>
        <w:t>,”</w:t>
      </w:r>
      <w:r w:rsidRPr="00C30612">
        <w:rPr>
          <w:rFonts w:ascii="Calibri" w:hAnsi="Calibri"/>
          <w:color w:val="auto"/>
          <w:sz w:val="20"/>
          <w:szCs w:val="20"/>
        </w:rPr>
        <w:t xml:space="preserve"> pp. 362-7; Katz, </w:t>
      </w:r>
      <w:r w:rsidRPr="00C30612">
        <w:rPr>
          <w:rFonts w:ascii="Calibri" w:hAnsi="Calibri"/>
          <w:i/>
          <w:color w:val="auto"/>
          <w:sz w:val="20"/>
          <w:szCs w:val="20"/>
        </w:rPr>
        <w:t>From Prejudice to Destruction</w:t>
      </w:r>
      <w:r w:rsidRPr="00C30612">
        <w:rPr>
          <w:rFonts w:ascii="Calibri" w:hAnsi="Calibri"/>
          <w:color w:val="auto"/>
          <w:sz w:val="20"/>
          <w:szCs w:val="20"/>
        </w:rPr>
        <w:t>, p. 42.</w:t>
      </w:r>
    </w:p>
  </w:footnote>
  <w:footnote w:id="21">
    <w:p w14:paraId="278627E4" w14:textId="66A6E054" w:rsidR="00F11556" w:rsidRPr="00C30612" w:rsidRDefault="00F11556" w:rsidP="00D73567">
      <w:pPr>
        <w:pStyle w:val="normal0"/>
        <w:spacing w:line="240" w:lineRule="auto"/>
        <w:contextualSpacing w:val="0"/>
        <w:rPr>
          <w:rFonts w:ascii="Calibri" w:hAnsi="Calibr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Herzberg, </w:t>
      </w:r>
      <w:r w:rsidRPr="00C30612">
        <w:rPr>
          <w:rFonts w:ascii="Calibri" w:hAnsi="Calibri"/>
          <w:i/>
          <w:color w:val="auto"/>
          <w:sz w:val="20"/>
          <w:szCs w:val="20"/>
        </w:rPr>
        <w:t>The French Enlightenment and the Jews</w:t>
      </w:r>
      <w:r w:rsidRPr="00C30612">
        <w:rPr>
          <w:rFonts w:ascii="Calibri" w:hAnsi="Calibri"/>
          <w:color w:val="auto"/>
          <w:sz w:val="20"/>
          <w:szCs w:val="20"/>
        </w:rPr>
        <w:t>,</w:t>
      </w:r>
      <w:r w:rsidRPr="00C30612">
        <w:rPr>
          <w:rFonts w:ascii="Calibri" w:hAnsi="Calibri"/>
          <w:i/>
          <w:color w:val="auto"/>
          <w:sz w:val="20"/>
          <w:szCs w:val="20"/>
        </w:rPr>
        <w:t xml:space="preserve"> </w:t>
      </w:r>
      <w:r w:rsidRPr="00C30612">
        <w:rPr>
          <w:rFonts w:ascii="Calibri" w:hAnsi="Calibri"/>
          <w:color w:val="auto"/>
          <w:sz w:val="20"/>
          <w:szCs w:val="20"/>
        </w:rPr>
        <w:t xml:space="preserve">p. 286. See also Katz, </w:t>
      </w:r>
      <w:r w:rsidRPr="00C30612">
        <w:rPr>
          <w:rFonts w:ascii="Calibri" w:hAnsi="Calibri"/>
          <w:i/>
          <w:color w:val="auto"/>
          <w:sz w:val="20"/>
          <w:szCs w:val="20"/>
        </w:rPr>
        <w:t>From Prejudice to Destruction</w:t>
      </w:r>
      <w:r w:rsidRPr="00C30612">
        <w:rPr>
          <w:rFonts w:ascii="Calibri" w:hAnsi="Calibri"/>
          <w:color w:val="auto"/>
          <w:sz w:val="20"/>
          <w:szCs w:val="20"/>
        </w:rPr>
        <w:t>, p. 152.</w:t>
      </w:r>
    </w:p>
  </w:footnote>
  <w:footnote w:id="22">
    <w:p w14:paraId="60B510F2" w14:textId="2AF8EEED" w:rsidR="00F11556" w:rsidRPr="00C30612" w:rsidRDefault="00F11556" w:rsidP="00D73567">
      <w:pPr>
        <w:pStyle w:val="normal0"/>
        <w:spacing w:line="240" w:lineRule="auto"/>
        <w:contextualSpacing w:val="0"/>
        <w:rPr>
          <w:rFonts w:ascii="Calibri" w:hAnsi="Calibr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Katz, </w:t>
      </w:r>
      <w:r w:rsidRPr="00C30612">
        <w:rPr>
          <w:rFonts w:ascii="Calibri" w:hAnsi="Calibri"/>
          <w:i/>
          <w:color w:val="auto"/>
          <w:sz w:val="20"/>
          <w:szCs w:val="20"/>
        </w:rPr>
        <w:t>From Prejudice to Destruction</w:t>
      </w:r>
      <w:r w:rsidRPr="00C30612">
        <w:rPr>
          <w:rFonts w:ascii="Calibri" w:hAnsi="Calibri"/>
          <w:color w:val="auto"/>
          <w:sz w:val="20"/>
          <w:szCs w:val="20"/>
        </w:rPr>
        <w:t>, pp.</w:t>
      </w:r>
      <w:r w:rsidRPr="00C30612">
        <w:rPr>
          <w:rFonts w:ascii="Calibri" w:hAnsi="Calibri"/>
          <w:i/>
          <w:color w:val="auto"/>
          <w:sz w:val="20"/>
          <w:szCs w:val="20"/>
        </w:rPr>
        <w:t xml:space="preserve"> </w:t>
      </w:r>
      <w:r w:rsidRPr="00C30612">
        <w:rPr>
          <w:rFonts w:ascii="Calibri" w:hAnsi="Calibri"/>
          <w:color w:val="auto"/>
          <w:sz w:val="20"/>
          <w:szCs w:val="20"/>
        </w:rPr>
        <w:t>39-41.</w:t>
      </w:r>
    </w:p>
  </w:footnote>
  <w:footnote w:id="23">
    <w:p w14:paraId="1D57F9D2" w14:textId="2AF2CFF8" w:rsidR="00F11556" w:rsidRPr="00C30612" w:rsidRDefault="00F11556" w:rsidP="00D73567">
      <w:pPr>
        <w:pStyle w:val="normal0"/>
        <w:spacing w:line="240" w:lineRule="auto"/>
        <w:contextualSpacing w:val="0"/>
        <w:rPr>
          <w:rFonts w:ascii="Calibri" w:hAnsi="Calibr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Voltaire, </w:t>
      </w:r>
      <w:r w:rsidRPr="00C30612">
        <w:rPr>
          <w:rFonts w:ascii="Calibri" w:hAnsi="Calibri"/>
          <w:i/>
          <w:color w:val="auto"/>
          <w:sz w:val="20"/>
          <w:szCs w:val="20"/>
        </w:rPr>
        <w:t>Philosophical Dictionary</w:t>
      </w:r>
      <w:r w:rsidRPr="00C30612">
        <w:rPr>
          <w:rFonts w:ascii="Calibri" w:hAnsi="Calibri"/>
          <w:color w:val="auto"/>
          <w:sz w:val="20"/>
          <w:szCs w:val="20"/>
        </w:rPr>
        <w:t>, pp. 181, 67-72.</w:t>
      </w:r>
    </w:p>
  </w:footnote>
  <w:footnote w:id="24">
    <w:p w14:paraId="5317A1F6" w14:textId="402116B7" w:rsidR="00F11556" w:rsidRPr="00C30612" w:rsidRDefault="00F11556" w:rsidP="00D73567">
      <w:pPr>
        <w:pStyle w:val="normal0"/>
        <w:spacing w:line="240" w:lineRule="auto"/>
        <w:contextualSpacing w:val="0"/>
        <w:rPr>
          <w:rFonts w:ascii="Calibri" w:hAnsi="Calibr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Muller, </w:t>
      </w:r>
      <w:r w:rsidRPr="00C30612">
        <w:rPr>
          <w:rFonts w:ascii="Calibri" w:hAnsi="Calibri"/>
          <w:i/>
          <w:color w:val="auto"/>
          <w:sz w:val="20"/>
          <w:szCs w:val="20"/>
        </w:rPr>
        <w:t>Capitalism and the Jews</w:t>
      </w:r>
      <w:r w:rsidRPr="00C30612">
        <w:rPr>
          <w:rFonts w:ascii="Calibri" w:hAnsi="Calibri"/>
          <w:color w:val="auto"/>
          <w:sz w:val="20"/>
          <w:szCs w:val="20"/>
        </w:rPr>
        <w:t>, pp. 31-2.</w:t>
      </w:r>
    </w:p>
  </w:footnote>
  <w:footnote w:id="25">
    <w:p w14:paraId="52AE765A" w14:textId="2282448B" w:rsidR="00F11556" w:rsidRPr="00C30612" w:rsidRDefault="00F11556" w:rsidP="00D73567">
      <w:pPr>
        <w:pStyle w:val="FootnoteText"/>
        <w:rPr>
          <w:rFonts w:ascii="Calibri" w:hAnsi="Calibri"/>
          <w:sz w:val="20"/>
          <w:szCs w:val="20"/>
        </w:rPr>
      </w:pPr>
      <w:r w:rsidRPr="00C30612">
        <w:rPr>
          <w:rStyle w:val="FootnoteReference"/>
          <w:rFonts w:ascii="Calibri" w:hAnsi="Calibri"/>
          <w:sz w:val="20"/>
          <w:szCs w:val="20"/>
        </w:rPr>
        <w:footnoteRef/>
      </w:r>
      <w:r w:rsidRPr="00C30612">
        <w:rPr>
          <w:rFonts w:ascii="Calibri" w:hAnsi="Calibri"/>
          <w:sz w:val="20"/>
          <w:szCs w:val="20"/>
        </w:rPr>
        <w:t xml:space="preserve"> Paul Cheney, </w:t>
      </w:r>
      <w:r w:rsidRPr="00C30612">
        <w:rPr>
          <w:rFonts w:ascii="Calibri" w:hAnsi="Calibri"/>
          <w:i/>
          <w:sz w:val="20"/>
          <w:szCs w:val="20"/>
        </w:rPr>
        <w:t xml:space="preserve">Revolutionary Commerce: Globalization and the French Monarchy </w:t>
      </w:r>
      <w:r w:rsidRPr="00C30612">
        <w:rPr>
          <w:rFonts w:ascii="Calibri" w:hAnsi="Calibri"/>
          <w:sz w:val="20"/>
          <w:szCs w:val="20"/>
        </w:rPr>
        <w:t>(Cambridge, MA, 2010), pp. 1-3.</w:t>
      </w:r>
    </w:p>
  </w:footnote>
  <w:footnote w:id="26">
    <w:p w14:paraId="247F3C6E" w14:textId="71FBC655" w:rsidR="00F11556" w:rsidRPr="00C30612" w:rsidRDefault="00F11556" w:rsidP="00D73567">
      <w:pPr>
        <w:pStyle w:val="FootnoteText"/>
        <w:rPr>
          <w:rFonts w:ascii="Calibri" w:hAnsi="Calibri"/>
          <w:sz w:val="20"/>
          <w:szCs w:val="20"/>
        </w:rPr>
      </w:pPr>
      <w:r w:rsidRPr="00C30612">
        <w:rPr>
          <w:rStyle w:val="FootnoteReference"/>
          <w:rFonts w:ascii="Calibri" w:hAnsi="Calibri"/>
          <w:sz w:val="20"/>
          <w:szCs w:val="20"/>
        </w:rPr>
        <w:footnoteRef/>
      </w:r>
      <w:r w:rsidRPr="00C30612">
        <w:rPr>
          <w:rFonts w:ascii="Calibri" w:hAnsi="Calibri"/>
          <w:sz w:val="20"/>
          <w:szCs w:val="20"/>
        </w:rPr>
        <w:t xml:space="preserve"> Ibid., p. 22. See also Paul Butel, </w:t>
      </w:r>
      <w:r w:rsidRPr="00C30612">
        <w:rPr>
          <w:rFonts w:ascii="Calibri" w:hAnsi="Calibri"/>
          <w:i/>
          <w:sz w:val="20"/>
          <w:szCs w:val="20"/>
        </w:rPr>
        <w:t>L</w:t>
      </w:r>
      <w:r>
        <w:rPr>
          <w:rFonts w:ascii="Calibri" w:hAnsi="Calibri"/>
          <w:i/>
          <w:sz w:val="20"/>
          <w:szCs w:val="20"/>
        </w:rPr>
        <w:t>’</w:t>
      </w:r>
      <w:r w:rsidRPr="00C30612">
        <w:rPr>
          <w:rFonts w:ascii="Calibri" w:hAnsi="Calibri"/>
          <w:i/>
          <w:sz w:val="20"/>
          <w:szCs w:val="20"/>
        </w:rPr>
        <w:t>Economie fran</w:t>
      </w:r>
      <w:r w:rsidRPr="00C30612">
        <w:rPr>
          <w:rFonts w:ascii="Calibri" w:hAnsi="Calibri" w:cs="Lucida Grande"/>
          <w:i/>
          <w:sz w:val="20"/>
          <w:szCs w:val="20"/>
        </w:rPr>
        <w:t>çaise au xviiie si</w:t>
      </w:r>
      <w:r w:rsidRPr="00C30612">
        <w:rPr>
          <w:rFonts w:ascii="Calibri" w:hAnsi="Calibri" w:cs="Times New Roman"/>
          <w:i/>
          <w:sz w:val="20"/>
          <w:szCs w:val="20"/>
        </w:rPr>
        <w:t xml:space="preserve">ècle </w:t>
      </w:r>
      <w:r w:rsidRPr="00C30612">
        <w:rPr>
          <w:rFonts w:ascii="Calibri" w:hAnsi="Calibri" w:cs="Times New Roman"/>
          <w:sz w:val="20"/>
          <w:szCs w:val="20"/>
        </w:rPr>
        <w:t xml:space="preserve">(Paris, 1993), pp. 12, 80-7; and Giullaume Daudin, </w:t>
      </w:r>
      <w:r w:rsidRPr="00C30612">
        <w:rPr>
          <w:rFonts w:ascii="Calibri" w:hAnsi="Calibri" w:cs="Times New Roman"/>
          <w:i/>
          <w:sz w:val="20"/>
          <w:szCs w:val="20"/>
        </w:rPr>
        <w:t xml:space="preserve">Commerce et prospérité: La France au xviiie </w:t>
      </w:r>
      <w:r w:rsidRPr="00C30612">
        <w:rPr>
          <w:rFonts w:ascii="Calibri" w:hAnsi="Calibri" w:cs="Lucida Grande"/>
          <w:i/>
          <w:sz w:val="20"/>
          <w:szCs w:val="20"/>
        </w:rPr>
        <w:t>si</w:t>
      </w:r>
      <w:r w:rsidRPr="00C30612">
        <w:rPr>
          <w:rFonts w:ascii="Calibri" w:hAnsi="Calibri" w:cs="Times New Roman"/>
          <w:i/>
          <w:sz w:val="20"/>
          <w:szCs w:val="20"/>
        </w:rPr>
        <w:t xml:space="preserve">ècle </w:t>
      </w:r>
      <w:r w:rsidRPr="00C30612">
        <w:rPr>
          <w:rFonts w:ascii="Calibri" w:hAnsi="Calibri" w:cs="Times New Roman"/>
          <w:sz w:val="20"/>
          <w:szCs w:val="20"/>
        </w:rPr>
        <w:t>(Paris, 2005), p. 219 (both cited in Cheney).</w:t>
      </w:r>
    </w:p>
  </w:footnote>
  <w:footnote w:id="27">
    <w:p w14:paraId="0057CA52" w14:textId="49B1E76B" w:rsidR="00F11556" w:rsidRPr="00C30612" w:rsidRDefault="00F11556" w:rsidP="00D73567">
      <w:pPr>
        <w:pStyle w:val="FootnoteText"/>
        <w:rPr>
          <w:rFonts w:ascii="Calibri" w:hAnsi="Calibri"/>
          <w:sz w:val="20"/>
          <w:szCs w:val="20"/>
        </w:rPr>
      </w:pPr>
      <w:r w:rsidRPr="00C30612">
        <w:rPr>
          <w:rStyle w:val="FootnoteReference"/>
          <w:rFonts w:ascii="Calibri" w:hAnsi="Calibri"/>
          <w:sz w:val="20"/>
          <w:szCs w:val="20"/>
        </w:rPr>
        <w:footnoteRef/>
      </w:r>
      <w:r w:rsidRPr="00C30612">
        <w:rPr>
          <w:rFonts w:ascii="Calibri" w:hAnsi="Calibri"/>
          <w:sz w:val="20"/>
          <w:szCs w:val="20"/>
        </w:rPr>
        <w:t xml:space="preserve"> John Shovlin, </w:t>
      </w:r>
      <w:r w:rsidRPr="00C30612">
        <w:rPr>
          <w:rFonts w:ascii="Calibri" w:hAnsi="Calibri"/>
          <w:i/>
          <w:sz w:val="20"/>
          <w:szCs w:val="20"/>
        </w:rPr>
        <w:t>The Political Economy of Virtue: Luxury, Patriotism, and the Origins of the French Revolution</w:t>
      </w:r>
      <w:r w:rsidRPr="00C30612">
        <w:rPr>
          <w:rFonts w:ascii="Calibri" w:hAnsi="Calibri"/>
          <w:sz w:val="20"/>
          <w:szCs w:val="20"/>
        </w:rPr>
        <w:t xml:space="preserve"> (Ithaca, NY, 2006), p. 15.</w:t>
      </w:r>
    </w:p>
  </w:footnote>
  <w:footnote w:id="28">
    <w:p w14:paraId="7121CAD6" w14:textId="48E81E6C" w:rsidR="00F11556" w:rsidRPr="00C30612" w:rsidRDefault="00F11556" w:rsidP="00D73567">
      <w:pPr>
        <w:shd w:val="clear" w:color="auto" w:fill="FFFFFF"/>
        <w:rPr>
          <w:rFonts w:ascii="Calibri" w:hAnsi="Calibri"/>
          <w:sz w:val="20"/>
          <w:szCs w:val="20"/>
        </w:rPr>
      </w:pPr>
      <w:r w:rsidRPr="00C30612">
        <w:rPr>
          <w:rStyle w:val="FootnoteReference"/>
          <w:rFonts w:ascii="Calibri" w:hAnsi="Calibri"/>
          <w:sz w:val="20"/>
          <w:szCs w:val="20"/>
        </w:rPr>
        <w:footnoteRef/>
      </w:r>
      <w:r w:rsidRPr="00C30612">
        <w:rPr>
          <w:rFonts w:ascii="Calibri" w:hAnsi="Calibri"/>
          <w:sz w:val="20"/>
          <w:szCs w:val="20"/>
        </w:rPr>
        <w:t xml:space="preserve"> Istvan Hont, </w:t>
      </w:r>
      <w:r w:rsidRPr="00C30612">
        <w:rPr>
          <w:rFonts w:ascii="Calibri" w:hAnsi="Calibri"/>
          <w:i/>
          <w:sz w:val="20"/>
          <w:szCs w:val="20"/>
        </w:rPr>
        <w:t>Jealousy of Trade: International Competition and the Nation-State in Historical Perspective</w:t>
      </w:r>
      <w:r w:rsidRPr="00C30612">
        <w:rPr>
          <w:rFonts w:ascii="Calibri" w:hAnsi="Calibri"/>
          <w:sz w:val="20"/>
          <w:szCs w:val="20"/>
        </w:rPr>
        <w:t xml:space="preserve"> (Cambridge, MA, 2005), pp. </w:t>
      </w:r>
      <w:r w:rsidRPr="00C30612">
        <w:rPr>
          <w:rFonts w:ascii="Calibri" w:eastAsia="Times New Roman" w:hAnsi="Calibri" w:cs="Arial"/>
          <w:sz w:val="20"/>
          <w:szCs w:val="20"/>
        </w:rPr>
        <w:t>22-37, 57-62.</w:t>
      </w:r>
    </w:p>
  </w:footnote>
  <w:footnote w:id="29">
    <w:p w14:paraId="5E98CB11" w14:textId="4A157352" w:rsidR="00F11556" w:rsidRPr="00C30612" w:rsidRDefault="00F11556" w:rsidP="00D73567">
      <w:pPr>
        <w:pStyle w:val="FootnoteText"/>
        <w:rPr>
          <w:rFonts w:ascii="Calibri" w:hAnsi="Calibri"/>
          <w:sz w:val="20"/>
          <w:szCs w:val="20"/>
        </w:rPr>
      </w:pPr>
      <w:r w:rsidRPr="00C30612">
        <w:rPr>
          <w:rStyle w:val="FootnoteReference"/>
          <w:rFonts w:ascii="Calibri" w:hAnsi="Calibri"/>
          <w:sz w:val="20"/>
          <w:szCs w:val="20"/>
        </w:rPr>
        <w:footnoteRef/>
      </w:r>
      <w:r w:rsidRPr="00C30612">
        <w:rPr>
          <w:rFonts w:ascii="Calibri" w:hAnsi="Calibri"/>
          <w:sz w:val="20"/>
          <w:szCs w:val="20"/>
        </w:rPr>
        <w:t xml:space="preserve"> Bernard Lepetit, </w:t>
      </w:r>
      <w:r>
        <w:rPr>
          <w:rFonts w:ascii="Calibri" w:hAnsi="Calibri"/>
          <w:sz w:val="20"/>
          <w:szCs w:val="20"/>
        </w:rPr>
        <w:t>“</w:t>
      </w:r>
      <w:r w:rsidRPr="00C30612">
        <w:rPr>
          <w:rFonts w:ascii="Calibri" w:hAnsi="Calibri"/>
          <w:sz w:val="20"/>
          <w:szCs w:val="20"/>
        </w:rPr>
        <w:t>Urbanization in Eighteenth-Century France: A Comment</w:t>
      </w:r>
      <w:r>
        <w:rPr>
          <w:rFonts w:ascii="Calibri" w:hAnsi="Calibri"/>
          <w:sz w:val="20"/>
          <w:szCs w:val="20"/>
        </w:rPr>
        <w:t>,”</w:t>
      </w:r>
      <w:r w:rsidRPr="00C30612">
        <w:rPr>
          <w:rFonts w:ascii="Calibri" w:hAnsi="Calibri"/>
          <w:sz w:val="20"/>
          <w:szCs w:val="20"/>
        </w:rPr>
        <w:t xml:space="preserve"> </w:t>
      </w:r>
      <w:r w:rsidRPr="00C30612">
        <w:rPr>
          <w:rFonts w:ascii="Calibri" w:hAnsi="Calibri"/>
          <w:i/>
          <w:sz w:val="20"/>
          <w:szCs w:val="20"/>
        </w:rPr>
        <w:t>Journal of Interdisciplinary History</w:t>
      </w:r>
      <w:r w:rsidRPr="00C30612">
        <w:rPr>
          <w:rFonts w:ascii="Calibri" w:hAnsi="Calibri"/>
          <w:sz w:val="20"/>
          <w:szCs w:val="20"/>
        </w:rPr>
        <w:t xml:space="preserve"> 23 (1) (1992), pp. 73-85.</w:t>
      </w:r>
    </w:p>
  </w:footnote>
  <w:footnote w:id="30">
    <w:p w14:paraId="3E3B3A26" w14:textId="4CFC5786" w:rsidR="00F11556" w:rsidRPr="00C30612" w:rsidRDefault="00F11556" w:rsidP="00D73567">
      <w:pPr>
        <w:pStyle w:val="FootnoteText"/>
        <w:rPr>
          <w:rFonts w:ascii="Calibri" w:hAnsi="Calibri"/>
          <w:sz w:val="20"/>
          <w:szCs w:val="20"/>
        </w:rPr>
      </w:pPr>
      <w:r w:rsidRPr="00C30612">
        <w:rPr>
          <w:rStyle w:val="FootnoteReference"/>
          <w:rFonts w:ascii="Calibri" w:hAnsi="Calibri"/>
          <w:sz w:val="20"/>
          <w:szCs w:val="20"/>
        </w:rPr>
        <w:footnoteRef/>
      </w:r>
      <w:r w:rsidRPr="00C30612">
        <w:rPr>
          <w:rFonts w:ascii="Calibri" w:hAnsi="Calibri"/>
          <w:sz w:val="20"/>
          <w:szCs w:val="20"/>
        </w:rPr>
        <w:t xml:space="preserve"> Shovlin, </w:t>
      </w:r>
      <w:r w:rsidRPr="00C30612">
        <w:rPr>
          <w:rFonts w:ascii="Calibri" w:hAnsi="Calibri"/>
          <w:i/>
          <w:sz w:val="20"/>
          <w:szCs w:val="20"/>
        </w:rPr>
        <w:t>The Political Economy of Virtue</w:t>
      </w:r>
      <w:r w:rsidRPr="00C30612">
        <w:rPr>
          <w:rFonts w:ascii="Calibri" w:hAnsi="Calibri"/>
          <w:sz w:val="20"/>
          <w:szCs w:val="20"/>
        </w:rPr>
        <w:t xml:space="preserve">, pp. 16-7. See also Maxine Berg and Elizabeth Eger, </w:t>
      </w:r>
      <w:r>
        <w:rPr>
          <w:rFonts w:ascii="Calibri" w:hAnsi="Calibri"/>
          <w:sz w:val="20"/>
          <w:szCs w:val="20"/>
        </w:rPr>
        <w:t>“</w:t>
      </w:r>
      <w:r w:rsidRPr="00C30612">
        <w:rPr>
          <w:rFonts w:ascii="Calibri" w:hAnsi="Calibri"/>
          <w:sz w:val="20"/>
          <w:szCs w:val="20"/>
        </w:rPr>
        <w:t>The Rise and Fall of the Luxury Debates</w:t>
      </w:r>
      <w:r>
        <w:rPr>
          <w:rFonts w:ascii="Calibri" w:hAnsi="Calibri"/>
          <w:sz w:val="20"/>
          <w:szCs w:val="20"/>
        </w:rPr>
        <w:t>,”</w:t>
      </w:r>
      <w:r w:rsidRPr="00C30612">
        <w:rPr>
          <w:rFonts w:ascii="Calibri" w:hAnsi="Calibri"/>
          <w:sz w:val="20"/>
          <w:szCs w:val="20"/>
        </w:rPr>
        <w:t xml:space="preserve"> in </w:t>
      </w:r>
      <w:r w:rsidRPr="00C30612">
        <w:rPr>
          <w:rFonts w:ascii="Calibri" w:hAnsi="Calibri"/>
          <w:i/>
          <w:sz w:val="20"/>
          <w:szCs w:val="20"/>
        </w:rPr>
        <w:t>Luxury in the Eighteenth Century</w:t>
      </w:r>
      <w:r w:rsidRPr="00C30612">
        <w:rPr>
          <w:rFonts w:ascii="Calibri" w:hAnsi="Calibri"/>
          <w:sz w:val="20"/>
          <w:szCs w:val="20"/>
        </w:rPr>
        <w:t xml:space="preserve">, ed. Berg and Eger (New York, 2003), pp. 7-27; Cissie Fairchilds, </w:t>
      </w:r>
      <w:r>
        <w:rPr>
          <w:rFonts w:ascii="Calibri" w:hAnsi="Calibri"/>
          <w:sz w:val="20"/>
          <w:szCs w:val="20"/>
        </w:rPr>
        <w:t>“</w:t>
      </w:r>
      <w:r w:rsidRPr="00C30612">
        <w:rPr>
          <w:rFonts w:ascii="Calibri" w:hAnsi="Calibri"/>
          <w:sz w:val="20"/>
          <w:szCs w:val="20"/>
        </w:rPr>
        <w:t>The Production and Marketing of Populuxe Goods in Eighteenth-Century Paris</w:t>
      </w:r>
      <w:r>
        <w:rPr>
          <w:rFonts w:ascii="Calibri" w:hAnsi="Calibri"/>
          <w:sz w:val="20"/>
          <w:szCs w:val="20"/>
        </w:rPr>
        <w:t>,”</w:t>
      </w:r>
      <w:r w:rsidRPr="00C30612">
        <w:rPr>
          <w:rFonts w:ascii="Calibri" w:hAnsi="Calibri"/>
          <w:sz w:val="20"/>
          <w:szCs w:val="20"/>
        </w:rPr>
        <w:t xml:space="preserve"> in </w:t>
      </w:r>
      <w:r w:rsidRPr="00C30612">
        <w:rPr>
          <w:rFonts w:ascii="Calibri" w:hAnsi="Calibri"/>
          <w:i/>
          <w:sz w:val="20"/>
          <w:szCs w:val="20"/>
        </w:rPr>
        <w:t>Consumption and the World of Goods</w:t>
      </w:r>
      <w:r w:rsidRPr="00C30612">
        <w:rPr>
          <w:rFonts w:ascii="Calibri" w:hAnsi="Calibri"/>
          <w:sz w:val="20"/>
          <w:szCs w:val="20"/>
        </w:rPr>
        <w:t xml:space="preserve">, ed. John Brewer and Roy Porter (London, 1993), pp. 228-49; Daniel Roche, </w:t>
      </w:r>
      <w:r w:rsidRPr="00C30612">
        <w:rPr>
          <w:rFonts w:ascii="Calibri" w:hAnsi="Calibri"/>
          <w:i/>
          <w:sz w:val="20"/>
          <w:szCs w:val="20"/>
        </w:rPr>
        <w:t>A History of Everyday Things: The Birth of Consumption in France, 1600-1800</w:t>
      </w:r>
      <w:r w:rsidRPr="00C30612">
        <w:rPr>
          <w:rFonts w:ascii="Calibri" w:hAnsi="Calibri"/>
          <w:sz w:val="20"/>
          <w:szCs w:val="20"/>
        </w:rPr>
        <w:t xml:space="preserve">, trans. Brian Pearce (Cambridge, 2000); and William H. Sewell, Jr., </w:t>
      </w:r>
      <w:r>
        <w:rPr>
          <w:rFonts w:ascii="Calibri" w:hAnsi="Calibri"/>
          <w:sz w:val="20"/>
          <w:szCs w:val="20"/>
        </w:rPr>
        <w:t>“</w:t>
      </w:r>
      <w:r w:rsidRPr="00C30612">
        <w:rPr>
          <w:rFonts w:ascii="Calibri" w:hAnsi="Calibri"/>
          <w:sz w:val="20"/>
          <w:szCs w:val="20"/>
        </w:rPr>
        <w:t>The Empire of Fashion and the Rise of Capitalism in Eighteenth-Century France</w:t>
      </w:r>
      <w:r>
        <w:rPr>
          <w:rFonts w:ascii="Calibri" w:hAnsi="Calibri"/>
          <w:sz w:val="20"/>
          <w:szCs w:val="20"/>
        </w:rPr>
        <w:t>,”</w:t>
      </w:r>
      <w:r w:rsidRPr="00C30612">
        <w:rPr>
          <w:rFonts w:ascii="Calibri" w:hAnsi="Calibri"/>
          <w:sz w:val="20"/>
          <w:szCs w:val="20"/>
        </w:rPr>
        <w:t xml:space="preserve"> </w:t>
      </w:r>
      <w:r w:rsidRPr="00C30612">
        <w:rPr>
          <w:rFonts w:ascii="Calibri" w:hAnsi="Calibri"/>
          <w:i/>
          <w:sz w:val="20"/>
          <w:szCs w:val="20"/>
        </w:rPr>
        <w:t>Past and Present</w:t>
      </w:r>
      <w:r w:rsidRPr="00C30612">
        <w:rPr>
          <w:rFonts w:ascii="Calibri" w:hAnsi="Calibri"/>
          <w:sz w:val="20"/>
          <w:szCs w:val="20"/>
        </w:rPr>
        <w:t xml:space="preserve"> 206 (1) (2010), pp. 81-120. On monetary exchanges and market behavior among the aristocracy (though he considers the seventeenth century the most pivotal one for the growth of these behaviors), see Jonathan Dewald, </w:t>
      </w:r>
      <w:r w:rsidRPr="00C30612">
        <w:rPr>
          <w:rFonts w:ascii="Calibri" w:hAnsi="Calibri"/>
          <w:i/>
          <w:sz w:val="20"/>
          <w:szCs w:val="20"/>
        </w:rPr>
        <w:t xml:space="preserve">Aristocratic Experience and the Origins of Modern Culture: France, 1570-1715 </w:t>
      </w:r>
      <w:r w:rsidRPr="00C30612">
        <w:rPr>
          <w:rFonts w:ascii="Calibri" w:hAnsi="Calibri"/>
          <w:sz w:val="20"/>
          <w:szCs w:val="20"/>
        </w:rPr>
        <w:t xml:space="preserve">(Berkeley, 1993), p. 147. On markets in rural France, see Philip T. Hoffman, </w:t>
      </w:r>
      <w:r w:rsidRPr="00C30612">
        <w:rPr>
          <w:rFonts w:ascii="Calibri" w:hAnsi="Calibri"/>
          <w:i/>
          <w:sz w:val="20"/>
          <w:szCs w:val="20"/>
        </w:rPr>
        <w:t>Growth in a Traditional Society: The French Countryside 1450-1815</w:t>
      </w:r>
      <w:r w:rsidRPr="00C30612">
        <w:rPr>
          <w:rFonts w:ascii="Calibri" w:hAnsi="Calibri"/>
          <w:sz w:val="20"/>
          <w:szCs w:val="20"/>
        </w:rPr>
        <w:t xml:space="preserve"> (Princeton, 1996).</w:t>
      </w:r>
    </w:p>
  </w:footnote>
  <w:footnote w:id="31">
    <w:p w14:paraId="05F9C724" w14:textId="1BB80CE2" w:rsidR="00F11556" w:rsidRPr="00C30612" w:rsidRDefault="00F11556" w:rsidP="00D73567">
      <w:pPr>
        <w:pStyle w:val="normal0"/>
        <w:spacing w:line="240" w:lineRule="auto"/>
        <w:contextualSpacing w:val="0"/>
        <w:rPr>
          <w:rFonts w:ascii="Calibri" w:hAnsi="Calibr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Harvey Mitchell, </w:t>
      </w:r>
      <w:r>
        <w:rPr>
          <w:rFonts w:ascii="Calibri" w:hAnsi="Calibri"/>
          <w:i/>
          <w:color w:val="auto"/>
          <w:sz w:val="20"/>
          <w:szCs w:val="20"/>
        </w:rPr>
        <w:t>Voltaire’s</w:t>
      </w:r>
      <w:r w:rsidRPr="00C30612">
        <w:rPr>
          <w:rFonts w:ascii="Calibri" w:hAnsi="Calibri"/>
          <w:i/>
          <w:color w:val="auto"/>
          <w:sz w:val="20"/>
          <w:szCs w:val="20"/>
        </w:rPr>
        <w:t xml:space="preserve"> Jews and Modern Jewish Identity</w:t>
      </w:r>
      <w:r w:rsidRPr="00C30612">
        <w:rPr>
          <w:rFonts w:ascii="Calibri" w:hAnsi="Calibri"/>
          <w:color w:val="auto"/>
          <w:sz w:val="20"/>
          <w:szCs w:val="20"/>
        </w:rPr>
        <w:t xml:space="preserve"> (New York, 2008), p. 64.</w:t>
      </w:r>
    </w:p>
  </w:footnote>
  <w:footnote w:id="32">
    <w:p w14:paraId="3519A974" w14:textId="05B53912" w:rsidR="00F11556" w:rsidRPr="00C30612" w:rsidRDefault="00F11556" w:rsidP="00D73567">
      <w:pPr>
        <w:pStyle w:val="FootnoteText"/>
        <w:rPr>
          <w:rFonts w:ascii="Calibri" w:hAnsi="Calibri"/>
          <w:sz w:val="20"/>
          <w:szCs w:val="20"/>
        </w:rPr>
      </w:pPr>
      <w:r w:rsidRPr="00C30612">
        <w:rPr>
          <w:rStyle w:val="FootnoteReference"/>
          <w:rFonts w:ascii="Calibri" w:hAnsi="Calibri"/>
          <w:sz w:val="20"/>
          <w:szCs w:val="20"/>
        </w:rPr>
        <w:footnoteRef/>
      </w:r>
      <w:r w:rsidRPr="00C30612">
        <w:rPr>
          <w:rFonts w:ascii="Calibri" w:hAnsi="Calibri"/>
          <w:sz w:val="20"/>
          <w:szCs w:val="20"/>
        </w:rPr>
        <w:t xml:space="preserve"> Leon Kahn, </w:t>
      </w:r>
      <w:r w:rsidRPr="00C30612">
        <w:rPr>
          <w:rFonts w:ascii="Calibri" w:hAnsi="Calibri"/>
          <w:i/>
          <w:sz w:val="20"/>
          <w:szCs w:val="20"/>
        </w:rPr>
        <w:t>Les Juifs de Paris au dix-huiti</w:t>
      </w:r>
      <w:r w:rsidRPr="00C30612">
        <w:rPr>
          <w:rFonts w:ascii="Calibri" w:hAnsi="Calibri" w:cs="Times New Roman"/>
          <w:i/>
          <w:sz w:val="20"/>
          <w:szCs w:val="20"/>
        </w:rPr>
        <w:t>ème</w:t>
      </w:r>
      <w:r w:rsidRPr="00C30612">
        <w:rPr>
          <w:rFonts w:ascii="Calibri" w:hAnsi="Calibri" w:cs="Lucida Grande"/>
          <w:i/>
          <w:sz w:val="20"/>
          <w:szCs w:val="20"/>
        </w:rPr>
        <w:t xml:space="preserve"> si</w:t>
      </w:r>
      <w:r w:rsidRPr="00C30612">
        <w:rPr>
          <w:rFonts w:ascii="Calibri" w:hAnsi="Calibri" w:cs="Times New Roman"/>
          <w:i/>
          <w:sz w:val="20"/>
          <w:szCs w:val="20"/>
        </w:rPr>
        <w:t>ècle d</w:t>
      </w:r>
      <w:r>
        <w:rPr>
          <w:rFonts w:ascii="Calibri" w:hAnsi="Calibri" w:cs="Times New Roman"/>
          <w:i/>
          <w:sz w:val="20"/>
          <w:szCs w:val="20"/>
        </w:rPr>
        <w:t>’</w:t>
      </w:r>
      <w:r w:rsidRPr="00C30612">
        <w:rPr>
          <w:rFonts w:ascii="Calibri" w:hAnsi="Calibri" w:cs="Times New Roman"/>
          <w:i/>
          <w:sz w:val="20"/>
          <w:szCs w:val="20"/>
        </w:rPr>
        <w:t xml:space="preserve">après les archives de la Lieutenance générale de police </w:t>
      </w:r>
      <w:r w:rsidRPr="00C30612">
        <w:rPr>
          <w:rFonts w:ascii="Calibri" w:hAnsi="Calibri" w:cs="Lucida Grande"/>
          <w:i/>
          <w:sz w:val="20"/>
          <w:szCs w:val="20"/>
        </w:rPr>
        <w:t>à la Bastille</w:t>
      </w:r>
      <w:r w:rsidRPr="00C30612">
        <w:rPr>
          <w:rFonts w:ascii="Calibri" w:hAnsi="Calibri" w:cs="Lucida Grande"/>
          <w:sz w:val="20"/>
          <w:szCs w:val="20"/>
        </w:rPr>
        <w:t xml:space="preserve"> (Paris, 1894), pp. 5-38, 72-2 (cited in Schechter, </w:t>
      </w:r>
      <w:r w:rsidRPr="00C30612">
        <w:rPr>
          <w:rFonts w:ascii="Calibri" w:hAnsi="Calibri" w:cs="Lucida Grande"/>
          <w:i/>
          <w:sz w:val="20"/>
          <w:szCs w:val="20"/>
        </w:rPr>
        <w:t>Obstinate Hebrews</w:t>
      </w:r>
      <w:r w:rsidRPr="00C30612">
        <w:rPr>
          <w:rFonts w:ascii="Calibri" w:hAnsi="Calibri" w:cs="Lucida Grande"/>
          <w:sz w:val="20"/>
          <w:szCs w:val="20"/>
        </w:rPr>
        <w:t>).</w:t>
      </w:r>
    </w:p>
  </w:footnote>
  <w:footnote w:id="33">
    <w:p w14:paraId="639BF63E" w14:textId="327BD00B" w:rsidR="00F11556" w:rsidRPr="00C30612" w:rsidRDefault="00F11556" w:rsidP="00D73567">
      <w:pPr>
        <w:pStyle w:val="FootnoteText"/>
        <w:rPr>
          <w:rFonts w:ascii="Calibri" w:hAnsi="Calibri"/>
          <w:sz w:val="20"/>
          <w:szCs w:val="20"/>
        </w:rPr>
      </w:pPr>
      <w:r w:rsidRPr="00C30612">
        <w:rPr>
          <w:rStyle w:val="FootnoteReference"/>
          <w:rFonts w:ascii="Calibri" w:hAnsi="Calibri"/>
          <w:sz w:val="20"/>
          <w:szCs w:val="20"/>
        </w:rPr>
        <w:footnoteRef/>
      </w:r>
      <w:r w:rsidRPr="00C30612">
        <w:rPr>
          <w:rFonts w:ascii="Calibri" w:hAnsi="Calibri"/>
          <w:sz w:val="20"/>
          <w:szCs w:val="20"/>
        </w:rPr>
        <w:t xml:space="preserve"> Roger Clément, </w:t>
      </w:r>
      <w:r w:rsidRPr="00C30612">
        <w:rPr>
          <w:rFonts w:ascii="Calibri" w:hAnsi="Calibri"/>
          <w:i/>
          <w:sz w:val="20"/>
          <w:szCs w:val="20"/>
        </w:rPr>
        <w:t>La condition des Juifs de Metz dans l</w:t>
      </w:r>
      <w:r>
        <w:rPr>
          <w:rFonts w:ascii="Calibri" w:hAnsi="Calibri"/>
          <w:i/>
          <w:sz w:val="20"/>
          <w:szCs w:val="20"/>
        </w:rPr>
        <w:t>’</w:t>
      </w:r>
      <w:r w:rsidRPr="00C30612">
        <w:rPr>
          <w:rFonts w:ascii="Calibri" w:hAnsi="Calibri"/>
          <w:i/>
          <w:sz w:val="20"/>
          <w:szCs w:val="20"/>
        </w:rPr>
        <w:t>Ancien Régime</w:t>
      </w:r>
      <w:r w:rsidRPr="00C30612">
        <w:rPr>
          <w:rFonts w:ascii="Calibri" w:hAnsi="Calibri"/>
          <w:sz w:val="20"/>
          <w:szCs w:val="20"/>
        </w:rPr>
        <w:t xml:space="preserve"> (Paris, 1903), pp. 38-40 (cited in Schechter, </w:t>
      </w:r>
      <w:r w:rsidRPr="00C30612">
        <w:rPr>
          <w:rFonts w:ascii="Calibri" w:hAnsi="Calibri"/>
          <w:i/>
          <w:sz w:val="20"/>
          <w:szCs w:val="20"/>
        </w:rPr>
        <w:t>Obstinate Hebrews</w:t>
      </w:r>
      <w:r w:rsidRPr="00C30612">
        <w:rPr>
          <w:rFonts w:ascii="Calibri" w:hAnsi="Calibri"/>
          <w:sz w:val="20"/>
          <w:szCs w:val="20"/>
        </w:rPr>
        <w:t>).</w:t>
      </w:r>
    </w:p>
  </w:footnote>
  <w:footnote w:id="34">
    <w:p w14:paraId="119E889D" w14:textId="69E18795" w:rsidR="00F11556" w:rsidRPr="00C30612" w:rsidRDefault="00F11556" w:rsidP="00D73567">
      <w:pPr>
        <w:pStyle w:val="FootnoteText"/>
        <w:rPr>
          <w:rFonts w:ascii="Calibri" w:hAnsi="Calibri"/>
          <w:sz w:val="20"/>
          <w:szCs w:val="20"/>
        </w:rPr>
      </w:pPr>
      <w:r w:rsidRPr="00C30612">
        <w:rPr>
          <w:rStyle w:val="FootnoteReference"/>
          <w:rFonts w:ascii="Calibri" w:hAnsi="Calibri"/>
          <w:sz w:val="20"/>
          <w:szCs w:val="20"/>
        </w:rPr>
        <w:footnoteRef/>
      </w:r>
      <w:r w:rsidRPr="00C30612">
        <w:rPr>
          <w:rFonts w:ascii="Calibri" w:hAnsi="Calibri"/>
          <w:sz w:val="20"/>
          <w:szCs w:val="20"/>
        </w:rPr>
        <w:t xml:space="preserve"> They were finally permitted to </w:t>
      </w:r>
      <w:r>
        <w:rPr>
          <w:rFonts w:ascii="Calibri" w:hAnsi="Calibri"/>
          <w:sz w:val="20"/>
          <w:szCs w:val="20"/>
        </w:rPr>
        <w:t>“</w:t>
      </w:r>
      <w:r w:rsidRPr="00C30612">
        <w:rPr>
          <w:rFonts w:ascii="Calibri" w:hAnsi="Calibri"/>
          <w:sz w:val="20"/>
          <w:szCs w:val="20"/>
        </w:rPr>
        <w:t>come out</w:t>
      </w:r>
      <w:r>
        <w:rPr>
          <w:rFonts w:ascii="Calibri" w:hAnsi="Calibri"/>
          <w:sz w:val="20"/>
          <w:szCs w:val="20"/>
        </w:rPr>
        <w:t>”</w:t>
      </w:r>
      <w:r w:rsidRPr="00C30612">
        <w:rPr>
          <w:rFonts w:ascii="Calibri" w:hAnsi="Calibri"/>
          <w:sz w:val="20"/>
          <w:szCs w:val="20"/>
        </w:rPr>
        <w:t xml:space="preserve"> as Jews in 1723. Schechter, </w:t>
      </w:r>
      <w:r w:rsidRPr="00C30612">
        <w:rPr>
          <w:rFonts w:ascii="Calibri" w:hAnsi="Calibri"/>
          <w:i/>
          <w:sz w:val="20"/>
          <w:szCs w:val="20"/>
        </w:rPr>
        <w:t>Obstinate Hebrews</w:t>
      </w:r>
      <w:r w:rsidRPr="00C30612">
        <w:rPr>
          <w:rFonts w:ascii="Calibri" w:hAnsi="Calibri"/>
          <w:sz w:val="20"/>
          <w:szCs w:val="20"/>
        </w:rPr>
        <w:t>, p. 27.</w:t>
      </w:r>
    </w:p>
  </w:footnote>
  <w:footnote w:id="35">
    <w:p w14:paraId="29B7052D" w14:textId="68E3199E" w:rsidR="00F11556" w:rsidRPr="00C30612" w:rsidRDefault="00F11556" w:rsidP="00D73567">
      <w:pPr>
        <w:pStyle w:val="normal0"/>
        <w:spacing w:line="240" w:lineRule="auto"/>
        <w:contextualSpacing w:val="0"/>
        <w:rPr>
          <w:rFonts w:ascii="Calibri" w:hAnsi="Calibr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Jonathan I. Israel, </w:t>
      </w:r>
      <w:r w:rsidRPr="00C30612">
        <w:rPr>
          <w:rFonts w:ascii="Calibri" w:hAnsi="Calibri"/>
          <w:i/>
          <w:color w:val="auto"/>
          <w:sz w:val="20"/>
          <w:szCs w:val="20"/>
        </w:rPr>
        <w:t>Diasporas Within a Diaspora</w:t>
      </w:r>
      <w:r w:rsidRPr="00C30612">
        <w:rPr>
          <w:rFonts w:ascii="Calibri" w:hAnsi="Calibri"/>
          <w:color w:val="auto"/>
          <w:sz w:val="20"/>
          <w:szCs w:val="20"/>
        </w:rPr>
        <w:t xml:space="preserve"> (Leiden, 2002).</w:t>
      </w:r>
    </w:p>
  </w:footnote>
  <w:footnote w:id="36">
    <w:p w14:paraId="4B20D861" w14:textId="6B5AC333" w:rsidR="00F11556" w:rsidRPr="00C30612" w:rsidRDefault="00F11556" w:rsidP="00D73567">
      <w:pPr>
        <w:pStyle w:val="normal0"/>
        <w:spacing w:line="240" w:lineRule="auto"/>
        <w:contextualSpacing w:val="0"/>
        <w:rPr>
          <w:rFonts w:ascii="Calibri" w:hAnsi="Calibr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Hertzberg, </w:t>
      </w:r>
      <w:r w:rsidRPr="00C30612">
        <w:rPr>
          <w:rFonts w:ascii="Calibri" w:hAnsi="Calibri"/>
          <w:i/>
          <w:color w:val="auto"/>
          <w:sz w:val="20"/>
          <w:szCs w:val="20"/>
        </w:rPr>
        <w:t>The French Enlightenment and the Jews</w:t>
      </w:r>
      <w:r w:rsidRPr="00C30612">
        <w:rPr>
          <w:rFonts w:ascii="Calibri" w:hAnsi="Calibri"/>
          <w:color w:val="auto"/>
          <w:sz w:val="20"/>
          <w:szCs w:val="20"/>
        </w:rPr>
        <w:t>, pp. 83-4.</w:t>
      </w:r>
    </w:p>
  </w:footnote>
  <w:footnote w:id="37">
    <w:p w14:paraId="731E6E71" w14:textId="13FF5E96" w:rsidR="00F11556" w:rsidRPr="00C30612" w:rsidRDefault="00F11556" w:rsidP="00D73567">
      <w:pPr>
        <w:pStyle w:val="FootnoteText"/>
        <w:rPr>
          <w:rFonts w:ascii="Calibri" w:hAnsi="Calibri"/>
          <w:sz w:val="20"/>
          <w:szCs w:val="20"/>
        </w:rPr>
      </w:pPr>
      <w:r w:rsidRPr="00C30612">
        <w:rPr>
          <w:rStyle w:val="FootnoteReference"/>
          <w:rFonts w:ascii="Calibri" w:hAnsi="Calibri"/>
          <w:sz w:val="20"/>
          <w:szCs w:val="20"/>
        </w:rPr>
        <w:footnoteRef/>
      </w:r>
      <w:r w:rsidRPr="00C30612">
        <w:rPr>
          <w:rFonts w:ascii="Calibri" w:hAnsi="Calibri"/>
          <w:sz w:val="20"/>
          <w:szCs w:val="20"/>
        </w:rPr>
        <w:t xml:space="preserve"> Schechter, </w:t>
      </w:r>
      <w:r w:rsidRPr="00C30612">
        <w:rPr>
          <w:rFonts w:ascii="Calibri" w:hAnsi="Calibri"/>
          <w:i/>
          <w:sz w:val="20"/>
          <w:szCs w:val="20"/>
        </w:rPr>
        <w:t>Obstinate Hebrews</w:t>
      </w:r>
      <w:r w:rsidRPr="00C30612">
        <w:rPr>
          <w:rFonts w:ascii="Calibri" w:hAnsi="Calibri"/>
          <w:sz w:val="20"/>
          <w:szCs w:val="20"/>
        </w:rPr>
        <w:t>, pp. 19, 25, 28, 36.</w:t>
      </w:r>
    </w:p>
  </w:footnote>
  <w:footnote w:id="38">
    <w:p w14:paraId="589A7E65" w14:textId="0427BE11" w:rsidR="00F11556" w:rsidRPr="00C30612" w:rsidRDefault="00F11556" w:rsidP="00D73567">
      <w:pPr>
        <w:pStyle w:val="normal0"/>
        <w:spacing w:line="240" w:lineRule="auto"/>
        <w:contextualSpacing w:val="0"/>
        <w:rPr>
          <w:rFonts w:ascii="Calibri" w:hAnsi="Calibri"/>
          <w:color w:val="auto"/>
          <w:sz w:val="20"/>
          <w:szCs w:val="20"/>
        </w:rPr>
      </w:pPr>
      <w:r w:rsidRPr="00C30612">
        <w:rPr>
          <w:rStyle w:val="FootnoteReference"/>
          <w:rFonts w:ascii="Calibri" w:hAnsi="Calibri"/>
          <w:color w:val="auto"/>
          <w:sz w:val="20"/>
          <w:szCs w:val="20"/>
        </w:rPr>
        <w:footnoteRef/>
      </w:r>
      <w:r w:rsidRPr="00C30612">
        <w:rPr>
          <w:rFonts w:ascii="Calibri" w:hAnsi="Calibri"/>
          <w:color w:val="auto"/>
          <w:sz w:val="20"/>
          <w:szCs w:val="20"/>
        </w:rPr>
        <w:t xml:space="preserve"> Jonathan Karp, </w:t>
      </w:r>
      <w:r w:rsidRPr="00C30612">
        <w:rPr>
          <w:rFonts w:ascii="Calibri" w:hAnsi="Calibri"/>
          <w:i/>
          <w:color w:val="auto"/>
          <w:sz w:val="20"/>
          <w:szCs w:val="20"/>
        </w:rPr>
        <w:t xml:space="preserve">The Politics of Jewish Commerce: Economic Ideology and Emancipation in Europe, 1638-1848 </w:t>
      </w:r>
      <w:r w:rsidRPr="00C30612">
        <w:rPr>
          <w:rFonts w:ascii="Calibri" w:hAnsi="Calibri"/>
          <w:color w:val="auto"/>
          <w:sz w:val="20"/>
          <w:szCs w:val="20"/>
        </w:rPr>
        <w:t xml:space="preserve">(Cambridge, 2008), p. 2. On the conflation of </w:t>
      </w:r>
      <w:r>
        <w:rPr>
          <w:rFonts w:ascii="Calibri" w:hAnsi="Calibri"/>
          <w:color w:val="auto"/>
          <w:sz w:val="20"/>
          <w:szCs w:val="20"/>
        </w:rPr>
        <w:t>“</w:t>
      </w:r>
      <w:r w:rsidRPr="00C30612">
        <w:rPr>
          <w:rFonts w:ascii="Calibri" w:hAnsi="Calibri"/>
          <w:color w:val="auto"/>
          <w:sz w:val="20"/>
          <w:szCs w:val="20"/>
        </w:rPr>
        <w:t>bourgeois</w:t>
      </w:r>
      <w:r>
        <w:rPr>
          <w:rFonts w:ascii="Calibri" w:hAnsi="Calibri"/>
          <w:color w:val="auto"/>
          <w:sz w:val="20"/>
          <w:szCs w:val="20"/>
        </w:rPr>
        <w:t>”</w:t>
      </w:r>
      <w:r w:rsidRPr="00C30612">
        <w:rPr>
          <w:rFonts w:ascii="Calibri" w:hAnsi="Calibri"/>
          <w:color w:val="auto"/>
          <w:sz w:val="20"/>
          <w:szCs w:val="20"/>
        </w:rPr>
        <w:t xml:space="preserve"> and </w:t>
      </w:r>
      <w:r>
        <w:rPr>
          <w:rFonts w:ascii="Calibri" w:hAnsi="Calibri"/>
          <w:color w:val="auto"/>
          <w:sz w:val="20"/>
          <w:szCs w:val="20"/>
        </w:rPr>
        <w:t>“</w:t>
      </w:r>
      <w:r w:rsidRPr="00C30612">
        <w:rPr>
          <w:rFonts w:ascii="Calibri" w:hAnsi="Calibri"/>
          <w:color w:val="auto"/>
          <w:sz w:val="20"/>
          <w:szCs w:val="20"/>
        </w:rPr>
        <w:t>Jew</w:t>
      </w:r>
      <w:r>
        <w:rPr>
          <w:rFonts w:ascii="Calibri" w:hAnsi="Calibri"/>
          <w:color w:val="auto"/>
          <w:sz w:val="20"/>
          <w:szCs w:val="20"/>
        </w:rPr>
        <w:t>,”</w:t>
      </w:r>
      <w:r w:rsidRPr="00C30612">
        <w:rPr>
          <w:rFonts w:ascii="Calibri" w:hAnsi="Calibri"/>
          <w:color w:val="auto"/>
          <w:sz w:val="20"/>
          <w:szCs w:val="20"/>
        </w:rPr>
        <w:t xml:space="preserve"> see also Sarah Maza, </w:t>
      </w:r>
      <w:r w:rsidRPr="00C30612">
        <w:rPr>
          <w:rFonts w:ascii="Calibri" w:hAnsi="Calibri"/>
          <w:i/>
          <w:color w:val="auto"/>
          <w:sz w:val="20"/>
          <w:szCs w:val="20"/>
        </w:rPr>
        <w:t>The Myth of the French Bourgeoisie: An Essay on the Social Imaginary, 1750-1850</w:t>
      </w:r>
      <w:r w:rsidRPr="00C30612">
        <w:rPr>
          <w:rFonts w:ascii="Calibri" w:hAnsi="Calibri"/>
          <w:color w:val="auto"/>
          <w:sz w:val="20"/>
          <w:szCs w:val="20"/>
        </w:rPr>
        <w:t xml:space="preserve"> (Cambridge, MA, 2003), p. 25.</w:t>
      </w:r>
    </w:p>
  </w:footnote>
  <w:footnote w:id="39">
    <w:p w14:paraId="39CDB137" w14:textId="673BEA6F" w:rsidR="00F11556" w:rsidRPr="00C30612" w:rsidRDefault="00F11556" w:rsidP="00D73567">
      <w:pPr>
        <w:pStyle w:val="FootnoteText"/>
        <w:rPr>
          <w:rFonts w:ascii="Calibri" w:hAnsi="Calibri"/>
          <w:sz w:val="20"/>
          <w:szCs w:val="20"/>
        </w:rPr>
      </w:pPr>
      <w:r w:rsidRPr="00C30612">
        <w:rPr>
          <w:rStyle w:val="FootnoteReference"/>
          <w:rFonts w:ascii="Calibri" w:hAnsi="Calibri"/>
          <w:sz w:val="20"/>
          <w:szCs w:val="20"/>
        </w:rPr>
        <w:footnoteRef/>
      </w:r>
      <w:r w:rsidRPr="00C30612">
        <w:rPr>
          <w:rFonts w:ascii="Calibri" w:hAnsi="Calibri"/>
          <w:sz w:val="20"/>
          <w:szCs w:val="20"/>
        </w:rPr>
        <w:t xml:space="preserve"> James Harrington, </w:t>
      </w:r>
      <w:r w:rsidRPr="00C30612">
        <w:rPr>
          <w:rFonts w:ascii="Calibri" w:hAnsi="Calibri"/>
          <w:i/>
          <w:sz w:val="20"/>
          <w:szCs w:val="20"/>
        </w:rPr>
        <w:t xml:space="preserve">The Commonwealth of Oceana </w:t>
      </w:r>
      <w:r w:rsidRPr="00C30612">
        <w:rPr>
          <w:rFonts w:ascii="Calibri" w:hAnsi="Calibri"/>
          <w:sz w:val="20"/>
          <w:szCs w:val="20"/>
        </w:rPr>
        <w:t xml:space="preserve">(Cambridge, 1992), p. 184 (cited in Muller, </w:t>
      </w:r>
      <w:r w:rsidRPr="00C30612">
        <w:rPr>
          <w:rFonts w:ascii="Calibri" w:hAnsi="Calibri"/>
          <w:i/>
          <w:sz w:val="20"/>
          <w:szCs w:val="20"/>
        </w:rPr>
        <w:t>The Mind and the Market</w:t>
      </w:r>
      <w:r w:rsidRPr="00C30612">
        <w:rPr>
          <w:rFonts w:ascii="Calibri" w:hAnsi="Calibri"/>
          <w:sz w:val="20"/>
          <w:szCs w:val="20"/>
        </w:rPr>
        <w:t xml:space="preserve">). Ironically enough, </w:t>
      </w:r>
      <w:r>
        <w:rPr>
          <w:rFonts w:ascii="Calibri" w:hAnsi="Calibri"/>
          <w:sz w:val="20"/>
          <w:szCs w:val="20"/>
        </w:rPr>
        <w:t xml:space="preserve">Jews were not even readmitted </w:t>
      </w:r>
      <w:r w:rsidRPr="00C30612">
        <w:rPr>
          <w:rFonts w:ascii="Calibri" w:hAnsi="Calibri"/>
          <w:sz w:val="20"/>
          <w:szCs w:val="20"/>
        </w:rPr>
        <w:t>to England until the following year.</w:t>
      </w:r>
    </w:p>
  </w:footnote>
  <w:footnote w:id="40">
    <w:p w14:paraId="4B715FF5" w14:textId="4C168785" w:rsidR="00F11556" w:rsidRPr="00C30612" w:rsidRDefault="00F11556" w:rsidP="00D73567">
      <w:pPr>
        <w:pStyle w:val="normal0"/>
        <w:spacing w:line="240" w:lineRule="auto"/>
        <w:contextualSpacing w:val="0"/>
        <w:rPr>
          <w:rFonts w:ascii="Calibri" w:hAnsi="Calibr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Bernardino Ramazzini, </w:t>
      </w:r>
      <w:r w:rsidRPr="00C30612">
        <w:rPr>
          <w:rFonts w:ascii="Calibri" w:hAnsi="Calibri"/>
          <w:i/>
          <w:color w:val="auto"/>
          <w:sz w:val="20"/>
          <w:szCs w:val="20"/>
        </w:rPr>
        <w:t xml:space="preserve">Diseases of Workers </w:t>
      </w:r>
      <w:r w:rsidRPr="00C30612">
        <w:rPr>
          <w:rFonts w:ascii="Calibri" w:hAnsi="Calibri"/>
          <w:color w:val="auto"/>
          <w:sz w:val="20"/>
          <w:szCs w:val="20"/>
        </w:rPr>
        <w:t>(New York, 1964), p. 287.</w:t>
      </w:r>
    </w:p>
  </w:footnote>
  <w:footnote w:id="41">
    <w:p w14:paraId="1559E66E" w14:textId="2A479A5B" w:rsidR="00F11556" w:rsidRPr="00C30612" w:rsidRDefault="00F11556" w:rsidP="00D73567">
      <w:pPr>
        <w:pStyle w:val="FootnoteText"/>
        <w:rPr>
          <w:rFonts w:ascii="Calibri" w:hAnsi="Calibri"/>
          <w:sz w:val="20"/>
          <w:szCs w:val="20"/>
        </w:rPr>
      </w:pPr>
      <w:r w:rsidRPr="00C30612">
        <w:rPr>
          <w:rStyle w:val="FootnoteReference"/>
          <w:rFonts w:ascii="Calibri" w:hAnsi="Calibri"/>
          <w:sz w:val="20"/>
          <w:szCs w:val="20"/>
        </w:rPr>
        <w:footnoteRef/>
      </w:r>
      <w:r w:rsidRPr="00C30612">
        <w:rPr>
          <w:rFonts w:ascii="Calibri" w:hAnsi="Calibri"/>
          <w:sz w:val="20"/>
          <w:szCs w:val="20"/>
        </w:rPr>
        <w:t xml:space="preserve"> François Hell, </w:t>
      </w:r>
      <w:r w:rsidRPr="00C30612">
        <w:rPr>
          <w:rFonts w:ascii="Calibri" w:hAnsi="Calibri"/>
          <w:i/>
          <w:sz w:val="20"/>
          <w:szCs w:val="20"/>
        </w:rPr>
        <w:t>Observations d</w:t>
      </w:r>
      <w:r>
        <w:rPr>
          <w:rFonts w:ascii="Calibri" w:hAnsi="Calibri"/>
          <w:i/>
          <w:sz w:val="20"/>
          <w:szCs w:val="20"/>
        </w:rPr>
        <w:t>’</w:t>
      </w:r>
      <w:r w:rsidRPr="00C30612">
        <w:rPr>
          <w:rFonts w:ascii="Calibri" w:hAnsi="Calibri"/>
          <w:i/>
          <w:sz w:val="20"/>
          <w:szCs w:val="20"/>
        </w:rPr>
        <w:t>un Alsacien sur l</w:t>
      </w:r>
      <w:r>
        <w:rPr>
          <w:rFonts w:ascii="Calibri" w:hAnsi="Calibri"/>
          <w:i/>
          <w:sz w:val="20"/>
          <w:szCs w:val="20"/>
        </w:rPr>
        <w:t>’</w:t>
      </w:r>
      <w:r w:rsidRPr="00C30612">
        <w:rPr>
          <w:rFonts w:ascii="Calibri" w:hAnsi="Calibri"/>
          <w:i/>
          <w:sz w:val="20"/>
          <w:szCs w:val="20"/>
        </w:rPr>
        <w:t>affaire présente des Juifs d</w:t>
      </w:r>
      <w:r>
        <w:rPr>
          <w:rFonts w:ascii="Calibri" w:hAnsi="Calibri"/>
          <w:i/>
          <w:sz w:val="20"/>
          <w:szCs w:val="20"/>
        </w:rPr>
        <w:t>’</w:t>
      </w:r>
      <w:r w:rsidRPr="00C30612">
        <w:rPr>
          <w:rFonts w:ascii="Calibri" w:hAnsi="Calibri"/>
          <w:i/>
          <w:sz w:val="20"/>
          <w:szCs w:val="20"/>
        </w:rPr>
        <w:t xml:space="preserve">Alsace </w:t>
      </w:r>
      <w:r w:rsidRPr="00C30612">
        <w:rPr>
          <w:rFonts w:ascii="Calibri" w:hAnsi="Calibri"/>
          <w:sz w:val="20"/>
          <w:szCs w:val="20"/>
        </w:rPr>
        <w:t xml:space="preserve">(Frankfurt, 1779); see Schechter, </w:t>
      </w:r>
      <w:r w:rsidRPr="00C30612">
        <w:rPr>
          <w:rFonts w:ascii="Calibri" w:hAnsi="Calibri"/>
          <w:i/>
          <w:sz w:val="20"/>
          <w:szCs w:val="20"/>
        </w:rPr>
        <w:t>Obstinate Hebrews</w:t>
      </w:r>
      <w:r w:rsidRPr="00C30612">
        <w:rPr>
          <w:rFonts w:ascii="Calibri" w:hAnsi="Calibri"/>
          <w:sz w:val="20"/>
          <w:szCs w:val="20"/>
        </w:rPr>
        <w:t>, pp. 67-73.</w:t>
      </w:r>
    </w:p>
  </w:footnote>
  <w:footnote w:id="42">
    <w:p w14:paraId="11645376" w14:textId="6D98E518" w:rsidR="00F11556" w:rsidRPr="00C30612" w:rsidRDefault="00F11556" w:rsidP="00D73567">
      <w:pPr>
        <w:pStyle w:val="FootnoteText"/>
        <w:rPr>
          <w:rFonts w:ascii="Calibri" w:hAnsi="Calibri"/>
          <w:sz w:val="20"/>
          <w:szCs w:val="20"/>
        </w:rPr>
      </w:pPr>
      <w:r w:rsidRPr="00C30612">
        <w:rPr>
          <w:rStyle w:val="FootnoteReference"/>
          <w:rFonts w:ascii="Calibri" w:hAnsi="Calibri"/>
          <w:sz w:val="20"/>
          <w:szCs w:val="20"/>
        </w:rPr>
        <w:footnoteRef/>
      </w:r>
      <w:r w:rsidRPr="00C30612">
        <w:rPr>
          <w:rFonts w:ascii="Calibri" w:hAnsi="Calibri"/>
          <w:sz w:val="20"/>
          <w:szCs w:val="20"/>
        </w:rPr>
        <w:t xml:space="preserve"> Comte de Mirabeau, </w:t>
      </w:r>
      <w:r w:rsidRPr="00C30612">
        <w:rPr>
          <w:rFonts w:ascii="Calibri" w:hAnsi="Calibri"/>
          <w:i/>
          <w:sz w:val="20"/>
          <w:szCs w:val="20"/>
        </w:rPr>
        <w:t>Sur Moses Mendelssohn, sur la réforme politique des juifs: Et en particulier sur la révolution tentée en leur faveur en 1753 dans la grande Bretagne</w:t>
      </w:r>
      <w:r w:rsidRPr="00C30612">
        <w:rPr>
          <w:rFonts w:ascii="Calibri" w:hAnsi="Calibri"/>
          <w:sz w:val="20"/>
          <w:szCs w:val="20"/>
        </w:rPr>
        <w:t xml:space="preserve">, vol. 1 (London, 1787), p. 56; this passage trans. Schechter, </w:t>
      </w:r>
      <w:r w:rsidRPr="00C30612">
        <w:rPr>
          <w:rFonts w:ascii="Calibri" w:hAnsi="Calibri"/>
          <w:i/>
          <w:sz w:val="20"/>
          <w:szCs w:val="20"/>
        </w:rPr>
        <w:t>Obstinate Hebrews</w:t>
      </w:r>
      <w:r w:rsidRPr="00C30612">
        <w:rPr>
          <w:rFonts w:ascii="Calibri" w:hAnsi="Calibri"/>
          <w:sz w:val="20"/>
          <w:szCs w:val="20"/>
        </w:rPr>
        <w:t xml:space="preserve">, 96. </w:t>
      </w:r>
    </w:p>
  </w:footnote>
  <w:footnote w:id="43">
    <w:p w14:paraId="66520471" w14:textId="6D3E5876" w:rsidR="00F11556" w:rsidRPr="00C30612" w:rsidRDefault="00F11556" w:rsidP="00D73567">
      <w:pPr>
        <w:pStyle w:val="FootnoteText"/>
        <w:rPr>
          <w:rFonts w:ascii="Calibri" w:hAnsi="Calibri"/>
          <w:sz w:val="20"/>
          <w:szCs w:val="20"/>
        </w:rPr>
      </w:pPr>
      <w:r w:rsidRPr="00C30612">
        <w:rPr>
          <w:rStyle w:val="FootnoteReference"/>
          <w:rFonts w:ascii="Calibri" w:hAnsi="Calibri"/>
          <w:sz w:val="20"/>
          <w:szCs w:val="20"/>
        </w:rPr>
        <w:footnoteRef/>
      </w:r>
      <w:r w:rsidRPr="00C30612">
        <w:rPr>
          <w:rFonts w:ascii="Calibri" w:hAnsi="Calibri"/>
          <w:sz w:val="20"/>
          <w:szCs w:val="20"/>
        </w:rPr>
        <w:t xml:space="preserve"> Abbé Henri Grégoire, </w:t>
      </w:r>
      <w:r w:rsidRPr="00C30612">
        <w:rPr>
          <w:rFonts w:ascii="Calibri" w:hAnsi="Calibri"/>
          <w:i/>
          <w:sz w:val="20"/>
          <w:szCs w:val="20"/>
        </w:rPr>
        <w:t>Essai sur la régénération physique, morale et politique des Juifs</w:t>
      </w:r>
      <w:r w:rsidRPr="00C30612">
        <w:rPr>
          <w:rFonts w:ascii="Calibri" w:hAnsi="Calibri"/>
          <w:sz w:val="20"/>
          <w:szCs w:val="20"/>
        </w:rPr>
        <w:t xml:space="preserve"> (Paris: 1789), pp.</w:t>
      </w:r>
      <w:r w:rsidRPr="00C30612">
        <w:rPr>
          <w:rFonts w:ascii="Calibri" w:hAnsi="Calibri"/>
          <w:i/>
          <w:sz w:val="20"/>
          <w:szCs w:val="20"/>
        </w:rPr>
        <w:t xml:space="preserve"> </w:t>
      </w:r>
      <w:r w:rsidRPr="00C30612">
        <w:rPr>
          <w:rFonts w:ascii="Calibri" w:hAnsi="Calibri"/>
          <w:sz w:val="20"/>
          <w:szCs w:val="20"/>
        </w:rPr>
        <w:t xml:space="preserve">95-99, 184-85, 168-70. See Schechter, </w:t>
      </w:r>
      <w:r w:rsidRPr="00C30612">
        <w:rPr>
          <w:rFonts w:ascii="Calibri" w:hAnsi="Calibri"/>
          <w:i/>
          <w:sz w:val="20"/>
          <w:szCs w:val="20"/>
        </w:rPr>
        <w:t>Obstinate Hebrews</w:t>
      </w:r>
      <w:r w:rsidRPr="00C30612">
        <w:rPr>
          <w:rFonts w:ascii="Calibri" w:hAnsi="Calibri"/>
          <w:sz w:val="20"/>
          <w:szCs w:val="20"/>
        </w:rPr>
        <w:t>, pp. 91-2. A similar treatise on regeneration (like Grégoire</w:t>
      </w:r>
      <w:r>
        <w:rPr>
          <w:rFonts w:ascii="Calibri" w:hAnsi="Calibri"/>
          <w:sz w:val="20"/>
          <w:szCs w:val="20"/>
        </w:rPr>
        <w:t>’</w:t>
      </w:r>
      <w:r w:rsidRPr="00C30612">
        <w:rPr>
          <w:rFonts w:ascii="Calibri" w:hAnsi="Calibri"/>
          <w:sz w:val="20"/>
          <w:szCs w:val="20"/>
        </w:rPr>
        <w:t xml:space="preserve">s, a winner of an essay contest sponsored by the Royal Academy in Metz) is Thiéry, </w:t>
      </w:r>
      <w:r w:rsidRPr="00C30612">
        <w:rPr>
          <w:rFonts w:ascii="Calibri" w:hAnsi="Calibri"/>
          <w:i/>
          <w:sz w:val="20"/>
          <w:szCs w:val="20"/>
        </w:rPr>
        <w:t>Dissertation sur cette question: Est-il des moyens de rendre les Juifs plus heureux et plus utiles en France?</w:t>
      </w:r>
      <w:r w:rsidRPr="00C30612">
        <w:rPr>
          <w:rFonts w:ascii="Calibri" w:hAnsi="Calibri"/>
          <w:sz w:val="20"/>
          <w:szCs w:val="20"/>
        </w:rPr>
        <w:t xml:space="preserve"> (Paris: 1788). See also Derek J. Penslar, </w:t>
      </w:r>
      <w:r w:rsidRPr="00C30612">
        <w:rPr>
          <w:rFonts w:ascii="Calibri" w:hAnsi="Calibri"/>
          <w:i/>
          <w:sz w:val="20"/>
          <w:szCs w:val="20"/>
        </w:rPr>
        <w:t>Shylock</w:t>
      </w:r>
      <w:r>
        <w:rPr>
          <w:rFonts w:ascii="Calibri" w:hAnsi="Calibri"/>
          <w:i/>
          <w:sz w:val="20"/>
          <w:szCs w:val="20"/>
        </w:rPr>
        <w:t>’</w:t>
      </w:r>
      <w:r w:rsidRPr="00C30612">
        <w:rPr>
          <w:rFonts w:ascii="Calibri" w:hAnsi="Calibri"/>
          <w:i/>
          <w:sz w:val="20"/>
          <w:szCs w:val="20"/>
        </w:rPr>
        <w:t>s Children</w:t>
      </w:r>
      <w:r w:rsidRPr="00C30612">
        <w:rPr>
          <w:rFonts w:ascii="Calibri" w:hAnsi="Calibri"/>
          <w:sz w:val="20"/>
          <w:szCs w:val="20"/>
        </w:rPr>
        <w:t xml:space="preserve"> (Berkeley, 2001), pp. 27-9; and Alyssa Goldstein Sepinwall, </w:t>
      </w:r>
      <w:r>
        <w:rPr>
          <w:rFonts w:ascii="Calibri" w:hAnsi="Calibri"/>
          <w:sz w:val="20"/>
          <w:szCs w:val="20"/>
        </w:rPr>
        <w:t>“</w:t>
      </w:r>
      <w:r w:rsidRPr="00C30612">
        <w:rPr>
          <w:rFonts w:ascii="Calibri" w:hAnsi="Calibri"/>
          <w:sz w:val="20"/>
          <w:szCs w:val="20"/>
        </w:rPr>
        <w:t>A Friend of the Jews? The Abbé Grégoire and Philosemitism in Revolutionary France</w:t>
      </w:r>
      <w:r>
        <w:rPr>
          <w:rFonts w:ascii="Calibri" w:hAnsi="Calibri"/>
          <w:sz w:val="20"/>
          <w:szCs w:val="20"/>
        </w:rPr>
        <w:t>,”</w:t>
      </w:r>
      <w:r w:rsidRPr="00C30612">
        <w:rPr>
          <w:rFonts w:ascii="Calibri" w:hAnsi="Calibri"/>
          <w:sz w:val="20"/>
          <w:szCs w:val="20"/>
        </w:rPr>
        <w:t xml:space="preserve"> in </w:t>
      </w:r>
      <w:r w:rsidRPr="00C30612">
        <w:rPr>
          <w:rFonts w:ascii="Calibri" w:hAnsi="Calibri"/>
          <w:i/>
          <w:sz w:val="20"/>
          <w:szCs w:val="20"/>
        </w:rPr>
        <w:t>Philosemitism in History</w:t>
      </w:r>
      <w:r w:rsidRPr="00C30612">
        <w:rPr>
          <w:rFonts w:ascii="Calibri" w:hAnsi="Calibri"/>
          <w:sz w:val="20"/>
          <w:szCs w:val="20"/>
        </w:rPr>
        <w:t>, ed. Jonathan Karp and Adam Sutcliffe (Cambridge, 2011), pp. 111-28.</w:t>
      </w:r>
    </w:p>
  </w:footnote>
  <w:footnote w:id="44">
    <w:p w14:paraId="3CDAE09E" w14:textId="6BF99BF8" w:rsidR="00F11556" w:rsidRPr="00C30612" w:rsidRDefault="00F11556" w:rsidP="00D73567">
      <w:pPr>
        <w:pStyle w:val="normal0"/>
        <w:spacing w:line="240" w:lineRule="auto"/>
        <w:contextualSpacing w:val="0"/>
        <w:rPr>
          <w:rFonts w:ascii="Calibri" w:hAnsi="Calibri"/>
          <w: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w:t>
      </w:r>
      <w:r w:rsidRPr="00C30612">
        <w:rPr>
          <w:rFonts w:ascii="Calibri" w:hAnsi="Calibri"/>
          <w:i/>
          <w:color w:val="auto"/>
          <w:sz w:val="20"/>
          <w:szCs w:val="20"/>
        </w:rPr>
        <w:t>Encyclopédie, ou Dictionnaire raisonné des sciences, des arts et des métiers</w:t>
      </w:r>
      <w:r w:rsidRPr="00C30612">
        <w:rPr>
          <w:rFonts w:ascii="Calibri" w:hAnsi="Calibri"/>
          <w:color w:val="auto"/>
          <w:sz w:val="20"/>
          <w:szCs w:val="20"/>
        </w:rPr>
        <w:t xml:space="preserve"> (Paris: 1751-72), </w:t>
      </w:r>
      <w:r>
        <w:rPr>
          <w:rFonts w:ascii="Calibri" w:hAnsi="Calibri"/>
          <w:color w:val="auto"/>
          <w:sz w:val="20"/>
          <w:szCs w:val="20"/>
        </w:rPr>
        <w:t>“</w:t>
      </w:r>
      <w:r w:rsidRPr="00C30612">
        <w:rPr>
          <w:rFonts w:ascii="Calibri" w:hAnsi="Calibri"/>
          <w:color w:val="auto"/>
          <w:sz w:val="20"/>
          <w:szCs w:val="20"/>
        </w:rPr>
        <w:t>Juif</w:t>
      </w:r>
      <w:r>
        <w:rPr>
          <w:rFonts w:ascii="Calibri" w:hAnsi="Calibri"/>
          <w:color w:val="auto"/>
          <w:sz w:val="20"/>
          <w:szCs w:val="20"/>
        </w:rPr>
        <w:t>,”</w:t>
      </w:r>
      <w:r w:rsidRPr="00C30612">
        <w:rPr>
          <w:rFonts w:ascii="Calibri" w:hAnsi="Calibri"/>
          <w:color w:val="auto"/>
          <w:sz w:val="20"/>
          <w:szCs w:val="20"/>
        </w:rPr>
        <w:t xml:space="preserve"> 9:25; this passage trans. Mitchell, </w:t>
      </w:r>
      <w:r>
        <w:rPr>
          <w:rFonts w:ascii="Calibri" w:hAnsi="Calibri"/>
          <w:i/>
          <w:color w:val="auto"/>
          <w:sz w:val="20"/>
          <w:szCs w:val="20"/>
        </w:rPr>
        <w:t>Voltaire’s</w:t>
      </w:r>
      <w:r w:rsidRPr="00C30612">
        <w:rPr>
          <w:rFonts w:ascii="Calibri" w:hAnsi="Calibri"/>
          <w:i/>
          <w:color w:val="auto"/>
          <w:sz w:val="20"/>
          <w:szCs w:val="20"/>
        </w:rPr>
        <w:t xml:space="preserve"> Jews</w:t>
      </w:r>
      <w:r w:rsidRPr="00C30612">
        <w:rPr>
          <w:rFonts w:ascii="Calibri" w:hAnsi="Calibri"/>
          <w:color w:val="auto"/>
          <w:sz w:val="20"/>
          <w:szCs w:val="20"/>
        </w:rPr>
        <w:t>, pp. 70-1.</w:t>
      </w:r>
    </w:p>
  </w:footnote>
  <w:footnote w:id="45">
    <w:p w14:paraId="7A407B72" w14:textId="7FAAEB0E" w:rsidR="00F11556" w:rsidRPr="00C30612" w:rsidRDefault="00F11556" w:rsidP="00D73567">
      <w:pPr>
        <w:pStyle w:val="FootnoteText"/>
        <w:rPr>
          <w:rFonts w:ascii="Calibri" w:hAnsi="Calibri"/>
          <w:sz w:val="20"/>
          <w:szCs w:val="20"/>
        </w:rPr>
      </w:pPr>
      <w:r w:rsidRPr="00C30612">
        <w:rPr>
          <w:rStyle w:val="FootnoteReference"/>
          <w:rFonts w:ascii="Calibri" w:hAnsi="Calibri"/>
          <w:sz w:val="20"/>
          <w:szCs w:val="20"/>
        </w:rPr>
        <w:footnoteRef/>
      </w:r>
      <w:r w:rsidRPr="00C30612">
        <w:rPr>
          <w:rFonts w:ascii="Calibri" w:hAnsi="Calibri"/>
          <w:sz w:val="20"/>
          <w:szCs w:val="20"/>
        </w:rPr>
        <w:t xml:space="preserve"> Israel Bernard de Valabr</w:t>
      </w:r>
      <w:r w:rsidRPr="00C30612">
        <w:rPr>
          <w:rFonts w:ascii="Calibri" w:hAnsi="Calibri" w:cs="Times New Roman"/>
          <w:sz w:val="20"/>
          <w:szCs w:val="20"/>
        </w:rPr>
        <w:t>ègue</w:t>
      </w:r>
      <w:r w:rsidRPr="00C30612">
        <w:rPr>
          <w:rFonts w:ascii="Calibri" w:hAnsi="Calibri" w:cs="Times New Roman"/>
          <w:i/>
          <w:sz w:val="20"/>
          <w:szCs w:val="20"/>
        </w:rPr>
        <w:t>, Lettre ou réflexions d</w:t>
      </w:r>
      <w:r>
        <w:rPr>
          <w:rFonts w:ascii="Calibri" w:hAnsi="Calibri" w:cs="Times New Roman"/>
          <w:i/>
          <w:sz w:val="20"/>
          <w:szCs w:val="20"/>
        </w:rPr>
        <w:t>’</w:t>
      </w:r>
      <w:r w:rsidRPr="00C30612">
        <w:rPr>
          <w:rFonts w:ascii="Calibri" w:hAnsi="Calibri" w:cs="Times New Roman"/>
          <w:i/>
          <w:sz w:val="20"/>
          <w:szCs w:val="20"/>
        </w:rPr>
        <w:t xml:space="preserve">un milord </w:t>
      </w:r>
      <w:r w:rsidRPr="00C30612">
        <w:rPr>
          <w:rFonts w:ascii="Calibri" w:hAnsi="Calibri" w:cs="Lucida Grande"/>
          <w:sz w:val="20"/>
          <w:szCs w:val="20"/>
        </w:rPr>
        <w:t>à</w:t>
      </w:r>
      <w:r w:rsidRPr="00C30612">
        <w:rPr>
          <w:rFonts w:ascii="Calibri" w:hAnsi="Calibri" w:cs="Times New Roman"/>
          <w:i/>
          <w:sz w:val="20"/>
          <w:szCs w:val="20"/>
        </w:rPr>
        <w:t xml:space="preserve"> son correspondant </w:t>
      </w:r>
      <w:r w:rsidRPr="00C30612">
        <w:rPr>
          <w:rFonts w:ascii="Calibri" w:hAnsi="Calibri" w:cs="Lucida Grande"/>
          <w:sz w:val="20"/>
          <w:szCs w:val="20"/>
        </w:rPr>
        <w:t>à</w:t>
      </w:r>
      <w:r w:rsidRPr="00C30612">
        <w:rPr>
          <w:rFonts w:ascii="Calibri" w:hAnsi="Calibri" w:cs="Times New Roman"/>
          <w:i/>
          <w:sz w:val="20"/>
          <w:szCs w:val="20"/>
        </w:rPr>
        <w:t xml:space="preserve"> Paris, au sujet de la requ</w:t>
      </w:r>
      <w:r w:rsidRPr="00C30612">
        <w:rPr>
          <w:rFonts w:ascii="Calibri" w:hAnsi="Calibri" w:cs="Lucida Grande"/>
          <w:sz w:val="20"/>
          <w:szCs w:val="20"/>
        </w:rPr>
        <w:t>ê</w:t>
      </w:r>
      <w:r w:rsidRPr="00C30612">
        <w:rPr>
          <w:rFonts w:ascii="Calibri" w:hAnsi="Calibri" w:cs="Times New Roman"/>
          <w:i/>
          <w:sz w:val="20"/>
          <w:szCs w:val="20"/>
        </w:rPr>
        <w:t>te des marchands des six-corps, contre l</w:t>
      </w:r>
      <w:r>
        <w:rPr>
          <w:rFonts w:ascii="Calibri" w:hAnsi="Calibri" w:cs="Times New Roman"/>
          <w:i/>
          <w:sz w:val="20"/>
          <w:szCs w:val="20"/>
        </w:rPr>
        <w:t>’</w:t>
      </w:r>
      <w:r w:rsidRPr="00C30612">
        <w:rPr>
          <w:rFonts w:ascii="Calibri" w:hAnsi="Calibri" w:cs="Times New Roman"/>
          <w:i/>
          <w:sz w:val="20"/>
          <w:szCs w:val="20"/>
        </w:rPr>
        <w:t xml:space="preserve">admission des Juifs aux brevets </w:t>
      </w:r>
      <w:r w:rsidRPr="00C30612">
        <w:rPr>
          <w:rFonts w:ascii="Calibri" w:hAnsi="Calibri" w:cs="Times New Roman"/>
          <w:sz w:val="20"/>
          <w:szCs w:val="20"/>
        </w:rPr>
        <w:t xml:space="preserve">(London, 1767), pp. </w:t>
      </w:r>
      <w:r w:rsidRPr="00C30612">
        <w:rPr>
          <w:rFonts w:ascii="Calibri" w:hAnsi="Calibri"/>
          <w:sz w:val="20"/>
          <w:szCs w:val="20"/>
        </w:rPr>
        <w:t xml:space="preserve">8, 70-1; this passage trans. Schechter, </w:t>
      </w:r>
      <w:r w:rsidRPr="00C30612">
        <w:rPr>
          <w:rFonts w:ascii="Calibri" w:hAnsi="Calibri"/>
          <w:i/>
          <w:sz w:val="20"/>
          <w:szCs w:val="20"/>
        </w:rPr>
        <w:t>Obstinate Hebrews</w:t>
      </w:r>
      <w:r w:rsidRPr="00C30612">
        <w:rPr>
          <w:rFonts w:ascii="Calibri" w:hAnsi="Calibri"/>
          <w:sz w:val="20"/>
          <w:szCs w:val="20"/>
        </w:rPr>
        <w:t>, pp. 116-7.</w:t>
      </w:r>
    </w:p>
  </w:footnote>
  <w:footnote w:id="46">
    <w:p w14:paraId="599AE9DC" w14:textId="10482E5A" w:rsidR="00F11556" w:rsidRPr="00C30612" w:rsidRDefault="00F11556" w:rsidP="00D73567">
      <w:pPr>
        <w:pStyle w:val="normal0"/>
        <w:spacing w:line="240" w:lineRule="auto"/>
        <w:contextualSpacing w:val="0"/>
        <w:rPr>
          <w:rFonts w:ascii="Calibri" w:hAnsi="Calibr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Muller, </w:t>
      </w:r>
      <w:r w:rsidRPr="00C30612">
        <w:rPr>
          <w:rFonts w:ascii="Calibri" w:hAnsi="Calibri"/>
          <w:i/>
          <w:color w:val="auto"/>
          <w:sz w:val="20"/>
          <w:szCs w:val="20"/>
        </w:rPr>
        <w:t>Capitalism and the Jews</w:t>
      </w:r>
      <w:r w:rsidRPr="00C30612">
        <w:rPr>
          <w:rFonts w:ascii="Calibri" w:hAnsi="Calibri"/>
          <w:color w:val="auto"/>
          <w:sz w:val="20"/>
          <w:szCs w:val="20"/>
        </w:rPr>
        <w:t>, p. 18.</w:t>
      </w:r>
    </w:p>
  </w:footnote>
  <w:footnote w:id="47">
    <w:p w14:paraId="0A8A6C07" w14:textId="27B85D08" w:rsidR="00F11556" w:rsidRPr="00C30612" w:rsidRDefault="00F11556" w:rsidP="00D73567">
      <w:pPr>
        <w:pStyle w:val="FootnoteText"/>
        <w:rPr>
          <w:rFonts w:ascii="Calibri" w:hAnsi="Calibri"/>
          <w:sz w:val="20"/>
          <w:szCs w:val="20"/>
        </w:rPr>
      </w:pPr>
      <w:r w:rsidRPr="00C30612">
        <w:rPr>
          <w:rStyle w:val="FootnoteReference"/>
          <w:rFonts w:ascii="Calibri" w:hAnsi="Calibri"/>
          <w:sz w:val="20"/>
          <w:szCs w:val="20"/>
        </w:rPr>
        <w:footnoteRef/>
      </w:r>
      <w:r w:rsidRPr="00C30612">
        <w:rPr>
          <w:rFonts w:ascii="Calibri" w:hAnsi="Calibri"/>
          <w:sz w:val="20"/>
          <w:szCs w:val="20"/>
        </w:rPr>
        <w:t xml:space="preserve"> If Voltaire had influences in this regard, they were more likely to be found in the popular press, theatre, and politics. For instance, the aftermath of the South Sea Bubble in 1720 saw the publication in Amsterdam of a volume containing </w:t>
      </w:r>
      <w:r>
        <w:rPr>
          <w:rFonts w:ascii="Calibri" w:hAnsi="Calibri"/>
          <w:sz w:val="20"/>
          <w:szCs w:val="20"/>
        </w:rPr>
        <w:t>“</w:t>
      </w:r>
      <w:r w:rsidRPr="00C30612">
        <w:rPr>
          <w:rFonts w:ascii="Calibri" w:hAnsi="Calibri"/>
          <w:sz w:val="20"/>
          <w:szCs w:val="20"/>
        </w:rPr>
        <w:t>anonymous letters v</w:t>
      </w:r>
      <w:r>
        <w:rPr>
          <w:rFonts w:ascii="Calibri" w:hAnsi="Calibri"/>
          <w:sz w:val="20"/>
          <w:szCs w:val="20"/>
        </w:rPr>
        <w:t>iolently attacking the role of ‘</w:t>
      </w:r>
      <w:r w:rsidRPr="00C30612">
        <w:rPr>
          <w:rFonts w:ascii="Calibri" w:hAnsi="Calibri"/>
          <w:sz w:val="20"/>
          <w:szCs w:val="20"/>
        </w:rPr>
        <w:t xml:space="preserve">Jews and </w:t>
      </w:r>
      <w:r w:rsidRPr="00C30612">
        <w:rPr>
          <w:rFonts w:ascii="Calibri" w:hAnsi="Calibri"/>
          <w:i/>
          <w:sz w:val="20"/>
          <w:szCs w:val="20"/>
        </w:rPr>
        <w:t>smousen</w:t>
      </w:r>
      <w:r>
        <w:rPr>
          <w:rFonts w:ascii="Calibri" w:hAnsi="Calibri"/>
          <w:sz w:val="20"/>
          <w:szCs w:val="20"/>
        </w:rPr>
        <w:t xml:space="preserve"> [stock jobbers]’</w:t>
      </w:r>
      <w:r w:rsidRPr="00C30612">
        <w:rPr>
          <w:rFonts w:ascii="Calibri" w:hAnsi="Calibri"/>
          <w:sz w:val="20"/>
          <w:szCs w:val="20"/>
        </w:rPr>
        <w:t xml:space="preserve"> and attributing the entire bubble to their sharp practices</w:t>
      </w:r>
      <w:r>
        <w:rPr>
          <w:rFonts w:ascii="Calibri" w:hAnsi="Calibri"/>
          <w:sz w:val="20"/>
          <w:szCs w:val="20"/>
        </w:rPr>
        <w:t>.”</w:t>
      </w:r>
      <w:r w:rsidRPr="00C30612">
        <w:rPr>
          <w:rFonts w:ascii="Calibri" w:hAnsi="Calibri"/>
          <w:sz w:val="20"/>
          <w:szCs w:val="20"/>
        </w:rPr>
        <w:t xml:space="preserve"> Margaret Jacob, </w:t>
      </w:r>
      <w:r>
        <w:rPr>
          <w:rFonts w:ascii="Calibri" w:hAnsi="Calibri"/>
          <w:sz w:val="20"/>
          <w:szCs w:val="20"/>
        </w:rPr>
        <w:t>“</w:t>
      </w:r>
      <w:r w:rsidRPr="00C30612">
        <w:rPr>
          <w:rFonts w:ascii="Calibri" w:hAnsi="Calibri"/>
          <w:sz w:val="20"/>
          <w:szCs w:val="20"/>
        </w:rPr>
        <w:t>Was the Eighteenth-Century Republican Essentially Anticapitalist?</w:t>
      </w:r>
      <w:r>
        <w:rPr>
          <w:rFonts w:ascii="Calibri" w:hAnsi="Calibri"/>
          <w:sz w:val="20"/>
          <w:szCs w:val="20"/>
        </w:rPr>
        <w:t>,”</w:t>
      </w:r>
      <w:r w:rsidRPr="00C30612">
        <w:rPr>
          <w:rFonts w:ascii="Calibri" w:hAnsi="Calibri"/>
          <w:sz w:val="20"/>
          <w:szCs w:val="20"/>
        </w:rPr>
        <w:t xml:space="preserve"> </w:t>
      </w:r>
      <w:r w:rsidRPr="00C30612">
        <w:rPr>
          <w:rFonts w:ascii="Calibri" w:hAnsi="Calibri"/>
          <w:i/>
          <w:sz w:val="20"/>
          <w:szCs w:val="20"/>
        </w:rPr>
        <w:t>Republics of Letters</w:t>
      </w:r>
      <w:r w:rsidRPr="00C30612">
        <w:rPr>
          <w:rFonts w:ascii="Calibri" w:hAnsi="Calibri"/>
          <w:sz w:val="20"/>
          <w:szCs w:val="20"/>
        </w:rPr>
        <w:t xml:space="preserve"> 2(1) (2010), available at arcade.stanford.edu/rofl/was-eighteenth-century-republican-essentially-anticapitalist. </w:t>
      </w:r>
      <w:r w:rsidRPr="00C30612">
        <w:rPr>
          <w:rFonts w:ascii="Calibri" w:hAnsi="Calibri"/>
          <w:i/>
          <w:sz w:val="20"/>
          <w:szCs w:val="20"/>
        </w:rPr>
        <w:t>Cato</w:t>
      </w:r>
      <w:r>
        <w:rPr>
          <w:rFonts w:ascii="Calibri" w:hAnsi="Calibri"/>
          <w:i/>
          <w:sz w:val="20"/>
          <w:szCs w:val="20"/>
        </w:rPr>
        <w:t>’</w:t>
      </w:r>
      <w:r w:rsidRPr="00C30612">
        <w:rPr>
          <w:rFonts w:ascii="Calibri" w:hAnsi="Calibri"/>
          <w:i/>
          <w:sz w:val="20"/>
          <w:szCs w:val="20"/>
        </w:rPr>
        <w:t>s Letters</w:t>
      </w:r>
      <w:r w:rsidRPr="00C30612">
        <w:rPr>
          <w:rFonts w:ascii="Calibri" w:hAnsi="Calibri"/>
          <w:sz w:val="20"/>
          <w:szCs w:val="20"/>
        </w:rPr>
        <w:t xml:space="preserve">, also published in the wake of the bubble, similarly displaced the blame for the crisis onto </w:t>
      </w:r>
      <w:r>
        <w:rPr>
          <w:rFonts w:ascii="Calibri" w:hAnsi="Calibri"/>
          <w:sz w:val="20"/>
          <w:szCs w:val="20"/>
        </w:rPr>
        <w:t>“</w:t>
      </w:r>
      <w:r w:rsidRPr="00C30612">
        <w:rPr>
          <w:rFonts w:ascii="Calibri" w:hAnsi="Calibri"/>
          <w:sz w:val="20"/>
          <w:szCs w:val="20"/>
        </w:rPr>
        <w:t>that class of ravens, whose wealth has cost the nation its all…a conspiracy of stock jobbers</w:t>
      </w:r>
      <w:r>
        <w:rPr>
          <w:rFonts w:ascii="Calibri" w:hAnsi="Calibri"/>
          <w:sz w:val="20"/>
          <w:szCs w:val="20"/>
        </w:rPr>
        <w:t>”</w:t>
      </w:r>
      <w:r w:rsidRPr="00C30612">
        <w:rPr>
          <w:rFonts w:ascii="Calibri" w:hAnsi="Calibri"/>
          <w:sz w:val="20"/>
          <w:szCs w:val="20"/>
        </w:rPr>
        <w:t xml:space="preserve">—although these stock jobbers had no explicit ethnicity. John Trenchard and Thomas Gordon, November 19, 1720, in </w:t>
      </w:r>
      <w:r w:rsidRPr="00C30612">
        <w:rPr>
          <w:rFonts w:ascii="Calibri" w:hAnsi="Calibri"/>
          <w:i/>
          <w:sz w:val="20"/>
          <w:szCs w:val="20"/>
        </w:rPr>
        <w:t>Cato</w:t>
      </w:r>
      <w:r>
        <w:rPr>
          <w:rFonts w:ascii="Calibri" w:hAnsi="Calibri"/>
          <w:i/>
          <w:sz w:val="20"/>
          <w:szCs w:val="20"/>
        </w:rPr>
        <w:t>’</w:t>
      </w:r>
      <w:r w:rsidRPr="00C30612">
        <w:rPr>
          <w:rFonts w:ascii="Calibri" w:hAnsi="Calibri"/>
          <w:i/>
          <w:sz w:val="20"/>
          <w:szCs w:val="20"/>
        </w:rPr>
        <w:t>s Letters: or, Essays on Liberty, Civil and Religious</w:t>
      </w:r>
      <w:r w:rsidRPr="00C30612">
        <w:rPr>
          <w:rFonts w:ascii="Calibri" w:hAnsi="Calibri"/>
          <w:sz w:val="20"/>
          <w:szCs w:val="20"/>
        </w:rPr>
        <w:t>, vol. 1 (London: Wilkins, 1737), p. 11 (cited in Jacob). Later in the century, Bolingbroke</w:t>
      </w:r>
      <w:r>
        <w:rPr>
          <w:rFonts w:ascii="Calibri" w:hAnsi="Calibri"/>
          <w:sz w:val="20"/>
          <w:szCs w:val="20"/>
        </w:rPr>
        <w:t>’</w:t>
      </w:r>
      <w:r w:rsidRPr="00C30612">
        <w:rPr>
          <w:rFonts w:ascii="Calibri" w:hAnsi="Calibri"/>
          <w:sz w:val="20"/>
          <w:szCs w:val="20"/>
        </w:rPr>
        <w:t xml:space="preserve">s habit of distinguishing between honest merchants and the </w:t>
      </w:r>
      <w:r>
        <w:rPr>
          <w:rFonts w:ascii="Calibri" w:hAnsi="Calibri"/>
          <w:sz w:val="20"/>
          <w:szCs w:val="20"/>
        </w:rPr>
        <w:t>“</w:t>
      </w:r>
      <w:r w:rsidRPr="00C30612">
        <w:rPr>
          <w:rFonts w:ascii="Calibri" w:hAnsi="Calibri"/>
          <w:sz w:val="20"/>
          <w:szCs w:val="20"/>
        </w:rPr>
        <w:t>parasitic element</w:t>
      </w:r>
      <w:r>
        <w:rPr>
          <w:rFonts w:ascii="Calibri" w:hAnsi="Calibri"/>
          <w:sz w:val="20"/>
          <w:szCs w:val="20"/>
        </w:rPr>
        <w:t>”</w:t>
      </w:r>
      <w:r w:rsidRPr="00C30612">
        <w:rPr>
          <w:rFonts w:ascii="Calibri" w:hAnsi="Calibri"/>
          <w:sz w:val="20"/>
          <w:szCs w:val="20"/>
        </w:rPr>
        <w:t xml:space="preserve"> of stockjobbers borrowed from this tradition; Geoffrey Holmes, </w:t>
      </w:r>
      <w:r w:rsidRPr="00C30612">
        <w:rPr>
          <w:rFonts w:ascii="Calibri" w:hAnsi="Calibri"/>
          <w:i/>
          <w:sz w:val="20"/>
          <w:szCs w:val="20"/>
        </w:rPr>
        <w:t>British Politics in the Age of Queen Anne</w:t>
      </w:r>
      <w:r w:rsidRPr="00C30612">
        <w:rPr>
          <w:rFonts w:ascii="Calibri" w:hAnsi="Calibri"/>
          <w:sz w:val="20"/>
          <w:szCs w:val="20"/>
        </w:rPr>
        <w:t xml:space="preserve"> (New York, 1967), p. 167. See also Michael Ragussis, </w:t>
      </w:r>
      <w:r w:rsidRPr="00C30612">
        <w:rPr>
          <w:rFonts w:ascii="Calibri" w:hAnsi="Calibri"/>
          <w:i/>
          <w:sz w:val="20"/>
          <w:szCs w:val="20"/>
        </w:rPr>
        <w:t xml:space="preserve">Theatrical Nation: Jews and Other Outlandish Englishmen in Georgian Britain </w:t>
      </w:r>
      <w:r w:rsidRPr="00C30612">
        <w:rPr>
          <w:rFonts w:ascii="Calibri" w:hAnsi="Calibri"/>
          <w:sz w:val="20"/>
          <w:szCs w:val="20"/>
        </w:rPr>
        <w:t xml:space="preserve">(Philadelphia, 2010), p. 97 (cited in Francesca Trivellato, </w:t>
      </w:r>
      <w:r>
        <w:rPr>
          <w:rFonts w:ascii="Calibri" w:hAnsi="Calibri"/>
          <w:sz w:val="20"/>
          <w:szCs w:val="20"/>
        </w:rPr>
        <w:t>“</w:t>
      </w:r>
      <w:r w:rsidRPr="00C30612">
        <w:rPr>
          <w:rFonts w:ascii="Calibri" w:hAnsi="Calibri"/>
          <w:sz w:val="20"/>
          <w:szCs w:val="20"/>
        </w:rPr>
        <w:t>Credit, Honor, and the Early Modern French Legend of the Jewish Invention of Bills of Exchange</w:t>
      </w:r>
      <w:r>
        <w:rPr>
          <w:rFonts w:ascii="Calibri" w:hAnsi="Calibri"/>
          <w:sz w:val="20"/>
          <w:szCs w:val="20"/>
        </w:rPr>
        <w:t>,”</w:t>
      </w:r>
      <w:r w:rsidRPr="00C30612">
        <w:rPr>
          <w:rFonts w:ascii="Calibri" w:hAnsi="Calibri"/>
          <w:sz w:val="20"/>
          <w:szCs w:val="20"/>
        </w:rPr>
        <w:t xml:space="preserve"> </w:t>
      </w:r>
      <w:r w:rsidRPr="00C30612">
        <w:rPr>
          <w:rFonts w:ascii="Calibri" w:hAnsi="Calibri"/>
          <w:i/>
          <w:sz w:val="20"/>
          <w:szCs w:val="20"/>
        </w:rPr>
        <w:t>Journal of Modern History</w:t>
      </w:r>
      <w:r w:rsidRPr="00C30612">
        <w:rPr>
          <w:rFonts w:ascii="Calibri" w:hAnsi="Calibri"/>
          <w:sz w:val="20"/>
          <w:szCs w:val="20"/>
        </w:rPr>
        <w:t xml:space="preserve"> 84 (2) (2012), pp. 289-334).</w:t>
      </w:r>
    </w:p>
  </w:footnote>
  <w:footnote w:id="48">
    <w:p w14:paraId="2544FC10" w14:textId="1AB8CDD0" w:rsidR="00F11556" w:rsidRPr="00C30612" w:rsidRDefault="00F11556" w:rsidP="00D73567">
      <w:pPr>
        <w:pStyle w:val="normal0"/>
        <w:spacing w:line="240" w:lineRule="auto"/>
        <w:contextualSpacing w:val="0"/>
        <w:rPr>
          <w:rFonts w:ascii="Calibri" w:hAnsi="Calibr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Voltaire, </w:t>
      </w:r>
      <w:r>
        <w:rPr>
          <w:rFonts w:ascii="Calibri" w:hAnsi="Calibri"/>
          <w:color w:val="auto"/>
          <w:sz w:val="20"/>
          <w:szCs w:val="20"/>
        </w:rPr>
        <w:t>“</w:t>
      </w:r>
      <w:r w:rsidRPr="00C30612">
        <w:rPr>
          <w:rFonts w:ascii="Calibri" w:hAnsi="Calibri"/>
          <w:color w:val="auto"/>
          <w:sz w:val="20"/>
          <w:szCs w:val="20"/>
        </w:rPr>
        <w:t>The Man of the World</w:t>
      </w:r>
      <w:r>
        <w:rPr>
          <w:rFonts w:ascii="Calibri" w:hAnsi="Calibri"/>
          <w:color w:val="auto"/>
          <w:sz w:val="20"/>
          <w:szCs w:val="20"/>
        </w:rPr>
        <w:t>,”</w:t>
      </w:r>
      <w:r w:rsidRPr="00C30612">
        <w:rPr>
          <w:rFonts w:ascii="Calibri" w:hAnsi="Calibri"/>
          <w:color w:val="auto"/>
          <w:sz w:val="20"/>
          <w:szCs w:val="20"/>
        </w:rPr>
        <w:t xml:space="preserve"> in </w:t>
      </w:r>
      <w:r w:rsidRPr="00C30612">
        <w:rPr>
          <w:rFonts w:ascii="Calibri" w:hAnsi="Calibri"/>
          <w:i/>
          <w:color w:val="auto"/>
          <w:sz w:val="20"/>
          <w:szCs w:val="20"/>
        </w:rPr>
        <w:t>Commerce, Culture, and Liberty</w:t>
      </w:r>
      <w:r w:rsidRPr="00C30612">
        <w:rPr>
          <w:rFonts w:ascii="Calibri" w:hAnsi="Calibri"/>
          <w:color w:val="auto"/>
          <w:sz w:val="20"/>
          <w:szCs w:val="20"/>
        </w:rPr>
        <w:t>, ed. Henry C. Clark (Indianapolis, IN, 2003), p. 275.</w:t>
      </w:r>
    </w:p>
  </w:footnote>
  <w:footnote w:id="49">
    <w:p w14:paraId="2EC651E6" w14:textId="619C8660" w:rsidR="00F11556" w:rsidRPr="00C30612" w:rsidRDefault="00F11556" w:rsidP="00D73567">
      <w:pPr>
        <w:pStyle w:val="FootnoteText"/>
        <w:rPr>
          <w:rFonts w:ascii="Calibri" w:hAnsi="Calibri"/>
          <w:sz w:val="20"/>
          <w:szCs w:val="20"/>
        </w:rPr>
      </w:pPr>
      <w:r w:rsidRPr="00C30612">
        <w:rPr>
          <w:rStyle w:val="FootnoteReference"/>
          <w:rFonts w:ascii="Calibri" w:hAnsi="Calibri"/>
          <w:sz w:val="20"/>
          <w:szCs w:val="20"/>
        </w:rPr>
        <w:footnoteRef/>
      </w:r>
      <w:r w:rsidRPr="00C30612">
        <w:rPr>
          <w:rFonts w:ascii="Calibri" w:hAnsi="Calibri"/>
          <w:sz w:val="20"/>
          <w:szCs w:val="20"/>
        </w:rPr>
        <w:t xml:space="preserve"> In fact, </w:t>
      </w:r>
      <w:r>
        <w:rPr>
          <w:rFonts w:ascii="Calibri" w:hAnsi="Calibri"/>
          <w:sz w:val="20"/>
          <w:szCs w:val="20"/>
        </w:rPr>
        <w:t>Voltaire’s</w:t>
      </w:r>
      <w:r w:rsidRPr="00C30612">
        <w:rPr>
          <w:rFonts w:ascii="Calibri" w:hAnsi="Calibri"/>
          <w:sz w:val="20"/>
          <w:szCs w:val="20"/>
        </w:rPr>
        <w:t xml:space="preserve"> contemporaries were willing to read a great deal into his verse. When this poem</w:t>
      </w:r>
      <w:r>
        <w:rPr>
          <w:rFonts w:ascii="Calibri" w:hAnsi="Calibri"/>
          <w:sz w:val="20"/>
          <w:szCs w:val="20"/>
        </w:rPr>
        <w:t>’</w:t>
      </w:r>
      <w:r w:rsidRPr="00C30612">
        <w:rPr>
          <w:rFonts w:ascii="Calibri" w:hAnsi="Calibri"/>
          <w:sz w:val="20"/>
          <w:szCs w:val="20"/>
        </w:rPr>
        <w:t>s predecessor on the same theme (</w:t>
      </w:r>
      <w:r>
        <w:rPr>
          <w:rFonts w:ascii="Calibri" w:hAnsi="Calibri"/>
          <w:sz w:val="20"/>
          <w:szCs w:val="20"/>
        </w:rPr>
        <w:t>“</w:t>
      </w:r>
      <w:r w:rsidRPr="00C30612">
        <w:rPr>
          <w:rFonts w:ascii="Calibri" w:hAnsi="Calibri"/>
          <w:sz w:val="20"/>
          <w:szCs w:val="20"/>
        </w:rPr>
        <w:t>The Worldling</w:t>
      </w:r>
      <w:r>
        <w:rPr>
          <w:rFonts w:ascii="Calibri" w:hAnsi="Calibri"/>
          <w:sz w:val="20"/>
          <w:szCs w:val="20"/>
        </w:rPr>
        <w:t>”</w:t>
      </w:r>
      <w:r w:rsidRPr="00C30612">
        <w:rPr>
          <w:rFonts w:ascii="Calibri" w:hAnsi="Calibri"/>
          <w:sz w:val="20"/>
          <w:szCs w:val="20"/>
        </w:rPr>
        <w:t xml:space="preserve">) was published without </w:t>
      </w:r>
      <w:r>
        <w:rPr>
          <w:rFonts w:ascii="Calibri" w:hAnsi="Calibri"/>
          <w:sz w:val="20"/>
          <w:szCs w:val="20"/>
        </w:rPr>
        <w:t>Voltaire’s</w:t>
      </w:r>
      <w:r w:rsidRPr="00C30612">
        <w:rPr>
          <w:rFonts w:ascii="Calibri" w:hAnsi="Calibri"/>
          <w:sz w:val="20"/>
          <w:szCs w:val="20"/>
        </w:rPr>
        <w:t xml:space="preserve"> authorization, it was denounced as scandalous and its author briefly fled France. Henri van Laun, </w:t>
      </w:r>
      <w:r w:rsidRPr="00C30612">
        <w:rPr>
          <w:rFonts w:ascii="Calibri" w:hAnsi="Calibri"/>
          <w:i/>
          <w:sz w:val="20"/>
          <w:szCs w:val="20"/>
        </w:rPr>
        <w:t>History of French Literature</w:t>
      </w:r>
      <w:r w:rsidRPr="00C30612">
        <w:rPr>
          <w:rFonts w:ascii="Calibri" w:hAnsi="Calibri"/>
          <w:sz w:val="20"/>
          <w:szCs w:val="20"/>
        </w:rPr>
        <w:t>, vol. 3 (New York, 1877), p. 51.</w:t>
      </w:r>
    </w:p>
  </w:footnote>
  <w:footnote w:id="50">
    <w:p w14:paraId="6286B732" w14:textId="56680CCA" w:rsidR="00F11556" w:rsidRPr="00C30612" w:rsidRDefault="00F11556" w:rsidP="00D73567">
      <w:pPr>
        <w:pStyle w:val="normal0"/>
        <w:spacing w:line="240" w:lineRule="auto"/>
        <w:contextualSpacing w:val="0"/>
        <w:rPr>
          <w:rFonts w:ascii="Calibri" w:hAnsi="Calibr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Muller, </w:t>
      </w:r>
      <w:r w:rsidRPr="00C30612">
        <w:rPr>
          <w:rFonts w:ascii="Calibri" w:hAnsi="Calibri"/>
          <w:i/>
          <w:color w:val="auto"/>
          <w:sz w:val="20"/>
          <w:szCs w:val="20"/>
        </w:rPr>
        <w:t>Capitalism and the Jews</w:t>
      </w:r>
      <w:r w:rsidRPr="00C30612">
        <w:rPr>
          <w:rFonts w:ascii="Calibri" w:hAnsi="Calibri"/>
          <w:color w:val="auto"/>
          <w:sz w:val="20"/>
          <w:szCs w:val="20"/>
        </w:rPr>
        <w:t>, p. 31.</w:t>
      </w:r>
    </w:p>
  </w:footnote>
  <w:footnote w:id="51">
    <w:p w14:paraId="652EDAA5" w14:textId="77777777" w:rsidR="00F11556" w:rsidRPr="00C30612" w:rsidRDefault="00F11556" w:rsidP="00D73567">
      <w:pPr>
        <w:pStyle w:val="normal0"/>
        <w:spacing w:line="240" w:lineRule="auto"/>
        <w:contextualSpacing w:val="0"/>
        <w:rPr>
          <w:rFonts w:ascii="Calibri" w:hAnsi="Calibr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Usury had a number of definitions, ranging from any lending at interest (the official Church position) to lending above a specified lawful interest rate (e.g., 5%). Voltaire generally used the looser meaning of the word: usury meant lending at especially high interest, and in defending (gentile) usury, he argued that interest rates should be set by the market.</w:t>
      </w:r>
    </w:p>
  </w:footnote>
  <w:footnote w:id="52">
    <w:p w14:paraId="5186D1D8" w14:textId="70BF7FB7" w:rsidR="00F11556" w:rsidRPr="00C30612" w:rsidRDefault="00F11556" w:rsidP="00D73567">
      <w:pPr>
        <w:pStyle w:val="normal0"/>
        <w:spacing w:line="240" w:lineRule="auto"/>
        <w:contextualSpacing w:val="0"/>
        <w:rPr>
          <w:rFonts w:ascii="Calibri" w:hAnsi="Calibr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Aristotle, </w:t>
      </w:r>
      <w:r w:rsidRPr="00C30612">
        <w:rPr>
          <w:rFonts w:ascii="Calibri" w:hAnsi="Calibri"/>
          <w:i/>
          <w:color w:val="auto"/>
          <w:sz w:val="20"/>
          <w:szCs w:val="20"/>
        </w:rPr>
        <w:t>Politics</w:t>
      </w:r>
      <w:r w:rsidRPr="00C30612">
        <w:rPr>
          <w:rFonts w:ascii="Calibri" w:hAnsi="Calibri"/>
          <w:color w:val="auto"/>
          <w:sz w:val="20"/>
          <w:szCs w:val="20"/>
        </w:rPr>
        <w:t>, trans. Ernest Barker (Oxford, 1995), 1258a.</w:t>
      </w:r>
    </w:p>
  </w:footnote>
  <w:footnote w:id="53">
    <w:p w14:paraId="566B7AE5" w14:textId="1F2D3338" w:rsidR="00F11556" w:rsidRPr="00C30612" w:rsidRDefault="00F11556" w:rsidP="00D73567">
      <w:pPr>
        <w:pStyle w:val="normal0"/>
        <w:spacing w:line="240" w:lineRule="auto"/>
        <w:contextualSpacing w:val="0"/>
        <w:rPr>
          <w:rFonts w:ascii="Calibri" w:hAnsi="Calibr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Deuteronomy 23:19-20; </w:t>
      </w:r>
      <w:r w:rsidRPr="00C30612">
        <w:rPr>
          <w:rFonts w:ascii="Calibri" w:hAnsi="Calibri"/>
          <w:color w:val="auto"/>
          <w:sz w:val="20"/>
          <w:szCs w:val="20"/>
          <w:highlight w:val="white"/>
        </w:rPr>
        <w:t xml:space="preserve">Thomas Aquinas, </w:t>
      </w:r>
      <w:r w:rsidRPr="00C30612">
        <w:rPr>
          <w:rFonts w:ascii="Calibri" w:hAnsi="Calibri"/>
          <w:i/>
          <w:color w:val="auto"/>
          <w:sz w:val="20"/>
          <w:szCs w:val="20"/>
          <w:highlight w:val="white"/>
        </w:rPr>
        <w:t>Summa Theologica</w:t>
      </w:r>
      <w:r w:rsidRPr="00C30612">
        <w:rPr>
          <w:rFonts w:ascii="Calibri" w:hAnsi="Calibri"/>
          <w:color w:val="auto"/>
          <w:sz w:val="20"/>
          <w:szCs w:val="20"/>
          <w:highlight w:val="white"/>
        </w:rPr>
        <w:t xml:space="preserve">, trans. Fathers of the English Dominican Province (London, 1918), pp. 330-40; </w:t>
      </w:r>
      <w:r w:rsidRPr="00C30612">
        <w:rPr>
          <w:rFonts w:ascii="Calibri" w:hAnsi="Calibri"/>
          <w:color w:val="auto"/>
          <w:sz w:val="20"/>
          <w:szCs w:val="20"/>
        </w:rPr>
        <w:t xml:space="preserve">Ambrose, </w:t>
      </w:r>
      <w:r w:rsidRPr="00C30612">
        <w:rPr>
          <w:rFonts w:ascii="Calibri" w:hAnsi="Calibri"/>
          <w:i/>
          <w:color w:val="auto"/>
          <w:sz w:val="20"/>
          <w:szCs w:val="20"/>
        </w:rPr>
        <w:t>De Tobia</w:t>
      </w:r>
      <w:r w:rsidRPr="00C30612">
        <w:rPr>
          <w:rFonts w:ascii="Calibri" w:hAnsi="Calibri"/>
          <w:color w:val="auto"/>
          <w:sz w:val="20"/>
          <w:szCs w:val="20"/>
        </w:rPr>
        <w:t>, 15.51; Second Lateran Council, Canon 13, available at www.papalencyclicals.net/Councils/ecum10.htm.</w:t>
      </w:r>
    </w:p>
  </w:footnote>
  <w:footnote w:id="54">
    <w:p w14:paraId="7116B162" w14:textId="1CAC6919" w:rsidR="00F11556" w:rsidRPr="00C30612" w:rsidRDefault="00F11556" w:rsidP="00D73567">
      <w:pPr>
        <w:pStyle w:val="normal0"/>
        <w:spacing w:line="240" w:lineRule="auto"/>
        <w:contextualSpacing w:val="0"/>
        <w:rPr>
          <w:rFonts w:ascii="Calibri" w:hAnsi="Calibr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Zosa Szajkowski, </w:t>
      </w:r>
      <w:r w:rsidRPr="00C30612">
        <w:rPr>
          <w:rFonts w:ascii="Calibri" w:hAnsi="Calibri"/>
          <w:i/>
          <w:color w:val="auto"/>
          <w:sz w:val="20"/>
          <w:szCs w:val="20"/>
        </w:rPr>
        <w:t xml:space="preserve">Jews and the French Revolutions </w:t>
      </w:r>
      <w:r w:rsidRPr="00C30612">
        <w:rPr>
          <w:rFonts w:ascii="Calibri" w:hAnsi="Calibri"/>
          <w:color w:val="auto"/>
          <w:sz w:val="20"/>
          <w:szCs w:val="20"/>
        </w:rPr>
        <w:t xml:space="preserve">(New York, 1970), p. 152. See also Marcel Marion, </w:t>
      </w:r>
      <w:r w:rsidRPr="00C30612">
        <w:rPr>
          <w:rFonts w:ascii="Calibri" w:hAnsi="Calibri"/>
          <w:i/>
          <w:color w:val="auto"/>
          <w:sz w:val="20"/>
          <w:szCs w:val="20"/>
        </w:rPr>
        <w:t>Dictionnaire des institutions de la France au XVIIe et XVIIIe siècles</w:t>
      </w:r>
      <w:r w:rsidRPr="00C30612">
        <w:rPr>
          <w:rFonts w:ascii="Calibri" w:hAnsi="Calibri"/>
          <w:color w:val="auto"/>
          <w:sz w:val="20"/>
          <w:szCs w:val="20"/>
        </w:rPr>
        <w:t xml:space="preserve"> (Paris, 1923), p. 300.</w:t>
      </w:r>
    </w:p>
  </w:footnote>
  <w:footnote w:id="55">
    <w:p w14:paraId="2BA3B1B9" w14:textId="1D48A486" w:rsidR="00F11556" w:rsidRPr="00C30612" w:rsidRDefault="00F11556" w:rsidP="00D73567">
      <w:pPr>
        <w:pStyle w:val="normal0"/>
        <w:spacing w:line="240" w:lineRule="auto"/>
        <w:contextualSpacing w:val="0"/>
        <w:rPr>
          <w:rFonts w:ascii="Calibri" w:hAnsi="Calibr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Ibid., pp. 161, 156.</w:t>
      </w:r>
    </w:p>
  </w:footnote>
  <w:footnote w:id="56">
    <w:p w14:paraId="41E5BF4D" w14:textId="77777777" w:rsidR="00F11556" w:rsidRPr="00C30612" w:rsidRDefault="00F11556" w:rsidP="00D73567">
      <w:pPr>
        <w:pStyle w:val="normal0"/>
        <w:spacing w:line="240" w:lineRule="auto"/>
        <w:contextualSpacing w:val="0"/>
        <w:rPr>
          <w:rFonts w:ascii="Calibri" w:hAnsi="Calibr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Pope Benedict XIV, </w:t>
      </w:r>
      <w:r w:rsidRPr="00C30612">
        <w:rPr>
          <w:rFonts w:ascii="Calibri" w:hAnsi="Calibri"/>
          <w:i/>
          <w:color w:val="auto"/>
          <w:sz w:val="20"/>
          <w:szCs w:val="20"/>
        </w:rPr>
        <w:t>Vix Pervenit</w:t>
      </w:r>
      <w:r w:rsidRPr="00C30612">
        <w:rPr>
          <w:rFonts w:ascii="Calibri" w:hAnsi="Calibri"/>
          <w:color w:val="auto"/>
          <w:sz w:val="20"/>
          <w:szCs w:val="20"/>
        </w:rPr>
        <w:t>, 3.1, available at www.papalencyclicals.net/Ben14/b14vixpe.htm.</w:t>
      </w:r>
    </w:p>
  </w:footnote>
  <w:footnote w:id="57">
    <w:p w14:paraId="707B9013" w14:textId="44005C98" w:rsidR="00F11556" w:rsidRPr="00C30612" w:rsidRDefault="00F11556" w:rsidP="00D73567">
      <w:pPr>
        <w:pStyle w:val="normal0"/>
        <w:spacing w:line="240" w:lineRule="auto"/>
        <w:contextualSpacing w:val="0"/>
        <w:rPr>
          <w:rFonts w:ascii="Calibri" w:hAnsi="Calibr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Szajkowski, </w:t>
      </w:r>
      <w:r w:rsidRPr="00C30612">
        <w:rPr>
          <w:rFonts w:ascii="Calibri" w:hAnsi="Calibri"/>
          <w:i/>
          <w:color w:val="auto"/>
          <w:sz w:val="20"/>
          <w:szCs w:val="20"/>
        </w:rPr>
        <w:t>Jews and the French Revolutions</w:t>
      </w:r>
      <w:r w:rsidRPr="00C30612">
        <w:rPr>
          <w:rFonts w:ascii="Calibri" w:hAnsi="Calibri"/>
          <w:color w:val="auto"/>
          <w:sz w:val="20"/>
          <w:szCs w:val="20"/>
        </w:rPr>
        <w:t xml:space="preserve">, p. 152; Jean Bouchary, </w:t>
      </w:r>
      <w:r w:rsidRPr="00C30612">
        <w:rPr>
          <w:rFonts w:ascii="Calibri" w:hAnsi="Calibri"/>
          <w:i/>
          <w:color w:val="auto"/>
          <w:sz w:val="20"/>
          <w:szCs w:val="20"/>
        </w:rPr>
        <w:t>Les Manieurs d</w:t>
      </w:r>
      <w:r>
        <w:rPr>
          <w:rFonts w:ascii="Calibri" w:hAnsi="Calibri"/>
          <w:i/>
          <w:color w:val="auto"/>
          <w:sz w:val="20"/>
          <w:szCs w:val="20"/>
        </w:rPr>
        <w:t>’</w:t>
      </w:r>
      <w:r w:rsidRPr="00C30612">
        <w:rPr>
          <w:rFonts w:ascii="Calibri" w:hAnsi="Calibri"/>
          <w:i/>
          <w:color w:val="auto"/>
          <w:sz w:val="20"/>
          <w:szCs w:val="20"/>
        </w:rPr>
        <w:t>argent à Paris à la fin du XVIIIe siècle</w:t>
      </w:r>
      <w:r w:rsidRPr="00C30612">
        <w:rPr>
          <w:rFonts w:ascii="Calibri" w:hAnsi="Calibri"/>
          <w:color w:val="auto"/>
          <w:sz w:val="20"/>
          <w:szCs w:val="20"/>
        </w:rPr>
        <w:t xml:space="preserve"> (Paris, 1939), p. 7.</w:t>
      </w:r>
    </w:p>
  </w:footnote>
  <w:footnote w:id="58">
    <w:p w14:paraId="4F53133A" w14:textId="294F60B7" w:rsidR="00F11556" w:rsidRPr="00C30612" w:rsidRDefault="00F11556" w:rsidP="00D73567">
      <w:pPr>
        <w:pStyle w:val="normal0"/>
        <w:spacing w:line="240" w:lineRule="auto"/>
        <w:contextualSpacing w:val="0"/>
        <w:rPr>
          <w:rFonts w:ascii="Calibri" w:hAnsi="Calibr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Mitchell, </w:t>
      </w:r>
      <w:r>
        <w:rPr>
          <w:rFonts w:ascii="Calibri" w:hAnsi="Calibri"/>
          <w:i/>
          <w:color w:val="auto"/>
          <w:sz w:val="20"/>
          <w:szCs w:val="20"/>
        </w:rPr>
        <w:t>Voltaire’s</w:t>
      </w:r>
      <w:r w:rsidRPr="00C30612">
        <w:rPr>
          <w:rFonts w:ascii="Calibri" w:hAnsi="Calibri"/>
          <w:i/>
          <w:color w:val="auto"/>
          <w:sz w:val="20"/>
          <w:szCs w:val="20"/>
        </w:rPr>
        <w:t xml:space="preserve"> Jews</w:t>
      </w:r>
      <w:r w:rsidRPr="00C30612">
        <w:rPr>
          <w:rFonts w:ascii="Calibri" w:hAnsi="Calibri"/>
          <w:color w:val="auto"/>
          <w:sz w:val="20"/>
          <w:szCs w:val="20"/>
        </w:rPr>
        <w:t>, p. 69.</w:t>
      </w:r>
    </w:p>
  </w:footnote>
  <w:footnote w:id="59">
    <w:p w14:paraId="41156852" w14:textId="082A7F36" w:rsidR="00F11556" w:rsidRPr="00C30612" w:rsidRDefault="00F11556" w:rsidP="00D73567">
      <w:pPr>
        <w:pStyle w:val="normal0"/>
        <w:spacing w:line="240" w:lineRule="auto"/>
        <w:contextualSpacing w:val="0"/>
        <w:rPr>
          <w:rFonts w:ascii="Calibri" w:hAnsi="Calibr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Voltaire, </w:t>
      </w:r>
      <w:r w:rsidRPr="00C30612">
        <w:rPr>
          <w:rFonts w:ascii="Calibri" w:hAnsi="Calibri"/>
          <w:i/>
          <w:color w:val="auto"/>
          <w:sz w:val="20"/>
          <w:szCs w:val="20"/>
        </w:rPr>
        <w:t>Sermon du Rabbin Akib</w:t>
      </w:r>
      <w:r w:rsidRPr="00C30612">
        <w:rPr>
          <w:rFonts w:ascii="Calibri" w:hAnsi="Calibri"/>
          <w:color w:val="auto"/>
          <w:sz w:val="20"/>
          <w:szCs w:val="20"/>
        </w:rPr>
        <w:t>, p. 284.</w:t>
      </w:r>
    </w:p>
  </w:footnote>
  <w:footnote w:id="60">
    <w:p w14:paraId="6D4FD9DE" w14:textId="615EDFEE" w:rsidR="00F11556" w:rsidRPr="00C30612" w:rsidRDefault="00F11556" w:rsidP="00D73567">
      <w:pPr>
        <w:pStyle w:val="normal0"/>
        <w:spacing w:line="240" w:lineRule="auto"/>
        <w:contextualSpacing w:val="0"/>
        <w:rPr>
          <w:rFonts w:ascii="Calibri" w:hAnsi="Calibr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Voltaire, </w:t>
      </w:r>
      <w:r w:rsidRPr="00C30612">
        <w:rPr>
          <w:rFonts w:ascii="Calibri" w:hAnsi="Calibri"/>
          <w:i/>
          <w:color w:val="auto"/>
          <w:sz w:val="20"/>
          <w:szCs w:val="20"/>
        </w:rPr>
        <w:t>Philosophical Dictionary</w:t>
      </w:r>
      <w:r w:rsidRPr="00C30612">
        <w:rPr>
          <w:rFonts w:ascii="Calibri" w:hAnsi="Calibri"/>
          <w:color w:val="auto"/>
          <w:sz w:val="20"/>
          <w:szCs w:val="20"/>
        </w:rPr>
        <w:t>, p. 68.</w:t>
      </w:r>
    </w:p>
  </w:footnote>
  <w:footnote w:id="61">
    <w:p w14:paraId="2B660FD0" w14:textId="0FC198D6" w:rsidR="00F11556" w:rsidRPr="00C30612" w:rsidRDefault="00F11556" w:rsidP="00D73567">
      <w:pPr>
        <w:pStyle w:val="normal0"/>
        <w:spacing w:line="240" w:lineRule="auto"/>
        <w:contextualSpacing w:val="0"/>
        <w:rPr>
          <w:rFonts w:ascii="Calibri" w:hAnsi="Calibr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Foissac, </w:t>
      </w:r>
      <w:r w:rsidRPr="00C30612">
        <w:rPr>
          <w:rFonts w:ascii="Calibri" w:hAnsi="Calibri"/>
          <w:i/>
          <w:color w:val="auto"/>
          <w:sz w:val="20"/>
          <w:szCs w:val="20"/>
        </w:rPr>
        <w:t>Le cri du citoyen</w:t>
      </w:r>
      <w:r w:rsidRPr="00C30612">
        <w:rPr>
          <w:rFonts w:ascii="Calibri" w:hAnsi="Calibri"/>
          <w:color w:val="auto"/>
          <w:sz w:val="20"/>
          <w:szCs w:val="20"/>
        </w:rPr>
        <w:t xml:space="preserve"> (Metz: 1786), p. 19.</w:t>
      </w:r>
    </w:p>
  </w:footnote>
  <w:footnote w:id="62">
    <w:p w14:paraId="7CD82D6F" w14:textId="351A30EB" w:rsidR="00F11556" w:rsidRPr="00C30612" w:rsidRDefault="00F11556" w:rsidP="00D73567">
      <w:pPr>
        <w:pStyle w:val="normal0"/>
        <w:spacing w:line="240" w:lineRule="auto"/>
        <w:contextualSpacing w:val="0"/>
        <w:rPr>
          <w:rFonts w:ascii="Calibri" w:hAnsi="Calibr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See Szajkowski, </w:t>
      </w:r>
      <w:r w:rsidRPr="00C30612">
        <w:rPr>
          <w:rFonts w:ascii="Calibri" w:hAnsi="Calibri"/>
          <w:i/>
          <w:color w:val="auto"/>
          <w:sz w:val="20"/>
          <w:szCs w:val="20"/>
        </w:rPr>
        <w:t>Jews and the French Revolutions</w:t>
      </w:r>
      <w:r w:rsidRPr="00C30612">
        <w:rPr>
          <w:rFonts w:ascii="Calibri" w:hAnsi="Calibri"/>
          <w:color w:val="auto"/>
          <w:sz w:val="20"/>
          <w:szCs w:val="20"/>
        </w:rPr>
        <w:t xml:space="preserve">, pp. 178-201; Muller, </w:t>
      </w:r>
      <w:r w:rsidRPr="00C30612">
        <w:rPr>
          <w:rFonts w:ascii="Calibri" w:hAnsi="Calibri"/>
          <w:i/>
          <w:color w:val="auto"/>
          <w:sz w:val="20"/>
          <w:szCs w:val="20"/>
        </w:rPr>
        <w:t>The Mind and the Market: Capitalism in Modern European Thought</w:t>
      </w:r>
      <w:r w:rsidRPr="00C30612">
        <w:rPr>
          <w:rFonts w:ascii="Calibri" w:hAnsi="Calibri"/>
          <w:color w:val="auto"/>
          <w:sz w:val="20"/>
          <w:szCs w:val="20"/>
        </w:rPr>
        <w:t xml:space="preserve"> (New York, 2002), pp. 10-13 (which includes Francis Bacon</w:t>
      </w:r>
      <w:r>
        <w:rPr>
          <w:rFonts w:ascii="Calibri" w:hAnsi="Calibri"/>
          <w:color w:val="auto"/>
          <w:sz w:val="20"/>
          <w:szCs w:val="20"/>
        </w:rPr>
        <w:t>’</w:t>
      </w:r>
      <w:r w:rsidRPr="00C30612">
        <w:rPr>
          <w:rFonts w:ascii="Calibri" w:hAnsi="Calibri"/>
          <w:color w:val="auto"/>
          <w:sz w:val="20"/>
          <w:szCs w:val="20"/>
        </w:rPr>
        <w:t xml:space="preserve">s assertion that usurers </w:t>
      </w:r>
      <w:r>
        <w:rPr>
          <w:rFonts w:ascii="Calibri" w:hAnsi="Calibri"/>
          <w:color w:val="auto"/>
          <w:sz w:val="20"/>
          <w:szCs w:val="20"/>
        </w:rPr>
        <w:t>“</w:t>
      </w:r>
      <w:r w:rsidRPr="00C30612">
        <w:rPr>
          <w:rFonts w:ascii="Calibri" w:hAnsi="Calibri"/>
          <w:color w:val="auto"/>
          <w:sz w:val="20"/>
          <w:szCs w:val="20"/>
        </w:rPr>
        <w:t>do Judaize</w:t>
      </w:r>
      <w:r>
        <w:rPr>
          <w:rFonts w:ascii="Calibri" w:hAnsi="Calibri"/>
          <w:color w:val="auto"/>
          <w:sz w:val="20"/>
          <w:szCs w:val="20"/>
        </w:rPr>
        <w:t>”</w:t>
      </w:r>
      <w:r w:rsidRPr="00C30612">
        <w:rPr>
          <w:rFonts w:ascii="Calibri" w:hAnsi="Calibri"/>
          <w:color w:val="auto"/>
          <w:sz w:val="20"/>
          <w:szCs w:val="20"/>
        </w:rPr>
        <w:t xml:space="preserve">); and Joshua Trachtenberg, </w:t>
      </w:r>
      <w:r w:rsidRPr="00C30612">
        <w:rPr>
          <w:rFonts w:ascii="Calibri" w:hAnsi="Calibri"/>
          <w:i/>
          <w:color w:val="auto"/>
          <w:sz w:val="20"/>
          <w:szCs w:val="20"/>
        </w:rPr>
        <w:t>The Devil and the Jews: The Medieval Conception of the Jew and Its Relation to Modern Anti-Semitism</w:t>
      </w:r>
      <w:r w:rsidRPr="00C30612">
        <w:rPr>
          <w:rFonts w:ascii="Calibri" w:hAnsi="Calibri"/>
          <w:color w:val="auto"/>
          <w:sz w:val="20"/>
          <w:szCs w:val="20"/>
        </w:rPr>
        <w:t xml:space="preserve"> (New Haven, 1943), p. 191, cited in Muller (on </w:t>
      </w:r>
      <w:r>
        <w:rPr>
          <w:rFonts w:ascii="Calibri" w:hAnsi="Calibri"/>
          <w:color w:val="auto"/>
          <w:sz w:val="20"/>
          <w:szCs w:val="20"/>
        </w:rPr>
        <w:t>“</w:t>
      </w:r>
      <w:r w:rsidRPr="00C30612">
        <w:rPr>
          <w:rFonts w:ascii="Calibri" w:hAnsi="Calibri"/>
          <w:i/>
          <w:color w:val="auto"/>
          <w:sz w:val="20"/>
          <w:szCs w:val="20"/>
        </w:rPr>
        <w:t>Judenspiess</w:t>
      </w:r>
      <w:r>
        <w:rPr>
          <w:rFonts w:ascii="Calibri" w:hAnsi="Calibri"/>
          <w:color w:val="auto"/>
          <w:sz w:val="20"/>
          <w:szCs w:val="20"/>
        </w:rPr>
        <w:t>”</w:t>
      </w:r>
      <w:r w:rsidRPr="00C30612">
        <w:rPr>
          <w:rFonts w:ascii="Calibri" w:hAnsi="Calibri"/>
          <w:color w:val="auto"/>
          <w:sz w:val="20"/>
          <w:szCs w:val="20"/>
        </w:rPr>
        <w:t xml:space="preserve"> or </w:t>
      </w:r>
      <w:r>
        <w:rPr>
          <w:rFonts w:ascii="Calibri" w:hAnsi="Calibri"/>
          <w:color w:val="auto"/>
          <w:sz w:val="20"/>
          <w:szCs w:val="20"/>
        </w:rPr>
        <w:t>“</w:t>
      </w:r>
      <w:r w:rsidRPr="00C30612">
        <w:rPr>
          <w:rFonts w:ascii="Calibri" w:hAnsi="Calibri"/>
          <w:color w:val="auto"/>
          <w:sz w:val="20"/>
          <w:szCs w:val="20"/>
        </w:rPr>
        <w:t>Jew</w:t>
      </w:r>
      <w:r>
        <w:rPr>
          <w:rFonts w:ascii="Calibri" w:hAnsi="Calibri"/>
          <w:color w:val="auto"/>
          <w:sz w:val="20"/>
          <w:szCs w:val="20"/>
        </w:rPr>
        <w:t>”</w:t>
      </w:r>
      <w:r w:rsidRPr="00C30612">
        <w:rPr>
          <w:rFonts w:ascii="Calibri" w:hAnsi="Calibri"/>
          <w:color w:val="auto"/>
          <w:sz w:val="20"/>
          <w:szCs w:val="20"/>
        </w:rPr>
        <w:t>s spear</w:t>
      </w:r>
      <w:r>
        <w:rPr>
          <w:rFonts w:ascii="Calibri" w:hAnsi="Calibri"/>
          <w:color w:val="auto"/>
          <w:sz w:val="20"/>
          <w:szCs w:val="20"/>
        </w:rPr>
        <w:t>”</w:t>
      </w:r>
      <w:r w:rsidRPr="00C30612">
        <w:rPr>
          <w:rFonts w:ascii="Calibri" w:hAnsi="Calibri"/>
          <w:color w:val="auto"/>
          <w:sz w:val="20"/>
          <w:szCs w:val="20"/>
        </w:rPr>
        <w:t xml:space="preserve"> as a Central European synonym for usury).</w:t>
      </w:r>
    </w:p>
  </w:footnote>
  <w:footnote w:id="63">
    <w:p w14:paraId="1CE23D90" w14:textId="1C5C68F2" w:rsidR="00F11556" w:rsidRPr="00C30612" w:rsidRDefault="00F11556" w:rsidP="00D73567">
      <w:pPr>
        <w:pStyle w:val="normal0"/>
        <w:spacing w:line="240" w:lineRule="auto"/>
        <w:contextualSpacing w:val="0"/>
        <w:rPr>
          <w:rFonts w:ascii="Calibri" w:hAnsi="Calibr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Gertrude Himmelfarb agrees that </w:t>
      </w:r>
      <w:r>
        <w:rPr>
          <w:rFonts w:ascii="Calibri" w:hAnsi="Calibri"/>
          <w:color w:val="auto"/>
          <w:sz w:val="20"/>
          <w:szCs w:val="20"/>
        </w:rPr>
        <w:t>Voltaire’s</w:t>
      </w:r>
      <w:r w:rsidRPr="00C30612">
        <w:rPr>
          <w:rFonts w:ascii="Calibri" w:hAnsi="Calibri"/>
          <w:color w:val="auto"/>
          <w:sz w:val="20"/>
          <w:szCs w:val="20"/>
        </w:rPr>
        <w:t xml:space="preserve"> criticism of specifically Jewish usury </w:t>
      </w:r>
      <w:r>
        <w:rPr>
          <w:rFonts w:ascii="Calibri" w:hAnsi="Calibri"/>
          <w:color w:val="auto"/>
          <w:sz w:val="20"/>
          <w:szCs w:val="20"/>
        </w:rPr>
        <w:t>“</w:t>
      </w:r>
      <w:r w:rsidRPr="00C30612">
        <w:rPr>
          <w:rFonts w:ascii="Calibri" w:hAnsi="Calibri"/>
          <w:color w:val="auto"/>
          <w:sz w:val="20"/>
          <w:szCs w:val="20"/>
        </w:rPr>
        <w:t>is all the more egregious because Voltaire himself staunchly defended the principle of usury against the Catholic Church</w:t>
      </w:r>
      <w:r>
        <w:rPr>
          <w:rFonts w:ascii="Calibri" w:hAnsi="Calibri"/>
          <w:color w:val="auto"/>
          <w:sz w:val="20"/>
          <w:szCs w:val="20"/>
        </w:rPr>
        <w:t>.”</w:t>
      </w:r>
      <w:r w:rsidRPr="00C30612">
        <w:rPr>
          <w:rFonts w:ascii="Calibri" w:hAnsi="Calibri"/>
          <w:color w:val="auto"/>
          <w:sz w:val="20"/>
          <w:szCs w:val="20"/>
        </w:rPr>
        <w:t xml:space="preserve"> Himmelfarb, </w:t>
      </w:r>
      <w:r w:rsidRPr="00C30612">
        <w:rPr>
          <w:rFonts w:ascii="Calibri" w:hAnsi="Calibri"/>
          <w:i/>
          <w:color w:val="auto"/>
          <w:sz w:val="20"/>
          <w:szCs w:val="20"/>
        </w:rPr>
        <w:t>The Roads to Modernity</w:t>
      </w:r>
      <w:r w:rsidRPr="00C30612">
        <w:rPr>
          <w:rFonts w:ascii="Calibri" w:hAnsi="Calibri"/>
          <w:color w:val="auto"/>
          <w:sz w:val="20"/>
          <w:szCs w:val="20"/>
        </w:rPr>
        <w:t xml:space="preserve"> (New York, 2004), p. 157.</w:t>
      </w:r>
    </w:p>
  </w:footnote>
  <w:footnote w:id="64">
    <w:p w14:paraId="2E607B94" w14:textId="45E530BF" w:rsidR="00F11556" w:rsidRPr="00C30612" w:rsidRDefault="00F11556" w:rsidP="00D73567">
      <w:pPr>
        <w:pStyle w:val="normal0"/>
        <w:spacing w:line="240" w:lineRule="auto"/>
        <w:contextualSpacing w:val="0"/>
        <w:rPr>
          <w:rFonts w:ascii="Calibri" w:hAnsi="Calibr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Voltaire, </w:t>
      </w:r>
      <w:r w:rsidRPr="00C30612">
        <w:rPr>
          <w:rFonts w:ascii="Calibri" w:hAnsi="Calibri"/>
          <w:i/>
          <w:color w:val="auto"/>
          <w:sz w:val="20"/>
          <w:szCs w:val="20"/>
        </w:rPr>
        <w:t>Philosophical Dictionary</w:t>
      </w:r>
      <w:r w:rsidRPr="00C30612">
        <w:rPr>
          <w:rFonts w:ascii="Calibri" w:hAnsi="Calibri"/>
          <w:color w:val="auto"/>
          <w:sz w:val="20"/>
          <w:szCs w:val="20"/>
        </w:rPr>
        <w:t>, p. 59.</w:t>
      </w:r>
    </w:p>
  </w:footnote>
  <w:footnote w:id="65">
    <w:p w14:paraId="4671B46F" w14:textId="56E6BA4D" w:rsidR="00F11556" w:rsidRPr="00EB4910" w:rsidRDefault="00F11556" w:rsidP="00D73567">
      <w:pPr>
        <w:pStyle w:val="normal0"/>
        <w:spacing w:line="240" w:lineRule="auto"/>
        <w:contextualSpacing w:val="0"/>
        <w:rPr>
          <w:rFonts w:ascii="Calibri" w:hAnsi="Calibri"/>
          <w: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Michael Sandel, </w:t>
      </w:r>
      <w:r w:rsidRPr="00C30612">
        <w:rPr>
          <w:rFonts w:ascii="Calibri" w:hAnsi="Calibri"/>
          <w:i/>
          <w:color w:val="auto"/>
          <w:sz w:val="20"/>
          <w:szCs w:val="20"/>
        </w:rPr>
        <w:t>What Money Can</w:t>
      </w:r>
      <w:r>
        <w:rPr>
          <w:rFonts w:ascii="Calibri" w:hAnsi="Calibri"/>
          <w:i/>
          <w:color w:val="auto"/>
          <w:sz w:val="20"/>
          <w:szCs w:val="20"/>
        </w:rPr>
        <w:t>’</w:t>
      </w:r>
      <w:r w:rsidRPr="00C30612">
        <w:rPr>
          <w:rFonts w:ascii="Calibri" w:hAnsi="Calibri"/>
          <w:i/>
          <w:color w:val="auto"/>
          <w:sz w:val="20"/>
          <w:szCs w:val="20"/>
        </w:rPr>
        <w:t xml:space="preserve">t Buy </w:t>
      </w:r>
      <w:r w:rsidRPr="00C30612">
        <w:rPr>
          <w:rFonts w:ascii="Calibri" w:hAnsi="Calibri"/>
          <w:color w:val="auto"/>
          <w:sz w:val="20"/>
          <w:szCs w:val="20"/>
        </w:rPr>
        <w:t>(New York, 2012), p. 10.</w:t>
      </w:r>
    </w:p>
  </w:footnote>
  <w:footnote w:id="66">
    <w:p w14:paraId="1323CDBC" w14:textId="62DC55A4" w:rsidR="00F11556" w:rsidRPr="00C30612" w:rsidRDefault="00F11556" w:rsidP="00D73567">
      <w:pPr>
        <w:pStyle w:val="normal0"/>
        <w:spacing w:line="240" w:lineRule="auto"/>
        <w:contextualSpacing w:val="0"/>
        <w:rPr>
          <w:rFonts w:ascii="Calibri" w:hAnsi="Calibr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Richard Steele, </w:t>
      </w:r>
      <w:r w:rsidRPr="00C30612">
        <w:rPr>
          <w:rFonts w:ascii="Calibri" w:hAnsi="Calibri"/>
          <w:i/>
          <w:color w:val="auto"/>
          <w:sz w:val="20"/>
          <w:szCs w:val="20"/>
        </w:rPr>
        <w:t>The Spectator</w:t>
      </w:r>
      <w:r w:rsidRPr="00C30612">
        <w:rPr>
          <w:rFonts w:ascii="Calibri" w:hAnsi="Calibri"/>
          <w:color w:val="auto"/>
          <w:sz w:val="20"/>
          <w:szCs w:val="20"/>
        </w:rPr>
        <w:t>,</w:t>
      </w:r>
      <w:r w:rsidRPr="00C30612">
        <w:rPr>
          <w:rFonts w:ascii="Calibri" w:hAnsi="Calibri"/>
          <w:i/>
          <w:color w:val="auto"/>
          <w:sz w:val="20"/>
          <w:szCs w:val="20"/>
        </w:rPr>
        <w:t xml:space="preserve"> </w:t>
      </w:r>
      <w:r w:rsidRPr="00C30612">
        <w:rPr>
          <w:rFonts w:ascii="Calibri" w:hAnsi="Calibri"/>
          <w:color w:val="auto"/>
          <w:sz w:val="20"/>
          <w:szCs w:val="20"/>
        </w:rPr>
        <w:t xml:space="preserve">August 28, 1711, in Joseph Addison and Steele, </w:t>
      </w:r>
      <w:r w:rsidRPr="00C30612">
        <w:rPr>
          <w:rFonts w:ascii="Calibri" w:hAnsi="Calibri"/>
          <w:i/>
          <w:color w:val="auto"/>
          <w:sz w:val="20"/>
          <w:szCs w:val="20"/>
        </w:rPr>
        <w:t>The Spectator: A New Edition</w:t>
      </w:r>
      <w:r w:rsidRPr="00C30612">
        <w:rPr>
          <w:rFonts w:ascii="Calibri" w:hAnsi="Calibri"/>
          <w:color w:val="auto"/>
          <w:sz w:val="20"/>
          <w:szCs w:val="20"/>
        </w:rPr>
        <w:t>, ed. Henry Morley, vol. 1 (London, 1883), p. 532.</w:t>
      </w:r>
    </w:p>
  </w:footnote>
  <w:footnote w:id="67">
    <w:p w14:paraId="5F985CBE" w14:textId="39CE4D5E" w:rsidR="00F11556" w:rsidRPr="00C30612" w:rsidRDefault="00F11556" w:rsidP="00D73567">
      <w:pPr>
        <w:pStyle w:val="normal0"/>
        <w:spacing w:line="240" w:lineRule="auto"/>
        <w:contextualSpacing w:val="0"/>
        <w:rPr>
          <w:rFonts w:ascii="Calibri" w:hAnsi="Calibr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Ferdinando Galiani, </w:t>
      </w:r>
      <w:r w:rsidRPr="00C30612">
        <w:rPr>
          <w:rFonts w:ascii="Calibri" w:hAnsi="Calibri"/>
          <w:i/>
          <w:color w:val="auto"/>
          <w:sz w:val="20"/>
          <w:szCs w:val="20"/>
        </w:rPr>
        <w:t>On Money</w:t>
      </w:r>
      <w:r w:rsidRPr="00C30612">
        <w:rPr>
          <w:rFonts w:ascii="Calibri" w:hAnsi="Calibri"/>
          <w:color w:val="auto"/>
          <w:sz w:val="20"/>
          <w:szCs w:val="20"/>
        </w:rPr>
        <w:t xml:space="preserve">, in </w:t>
      </w:r>
      <w:r w:rsidRPr="00C30612">
        <w:rPr>
          <w:rFonts w:ascii="Calibri" w:hAnsi="Calibri"/>
          <w:i/>
          <w:color w:val="auto"/>
          <w:sz w:val="20"/>
          <w:szCs w:val="20"/>
        </w:rPr>
        <w:t>Commerce, Culture, and Liberty</w:t>
      </w:r>
      <w:r w:rsidRPr="00C30612">
        <w:rPr>
          <w:rFonts w:ascii="Calibri" w:hAnsi="Calibri"/>
          <w:color w:val="auto"/>
          <w:sz w:val="20"/>
          <w:szCs w:val="20"/>
        </w:rPr>
        <w:t>, pp. 316, 309.</w:t>
      </w:r>
    </w:p>
  </w:footnote>
  <w:footnote w:id="68">
    <w:p w14:paraId="732ACEBF" w14:textId="6F413FDA" w:rsidR="00F11556" w:rsidRPr="00C30612" w:rsidRDefault="00F11556" w:rsidP="00D73567">
      <w:pPr>
        <w:pStyle w:val="normal0"/>
        <w:spacing w:line="240" w:lineRule="auto"/>
        <w:contextualSpacing w:val="0"/>
        <w:rPr>
          <w:rFonts w:ascii="Calibri" w:hAnsi="Calibr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John Trenchard and Thomas Gordon, February 3, 1721, in </w:t>
      </w:r>
      <w:r w:rsidRPr="00C30612">
        <w:rPr>
          <w:rFonts w:ascii="Calibri" w:hAnsi="Calibri"/>
          <w:i/>
          <w:color w:val="auto"/>
          <w:sz w:val="20"/>
          <w:szCs w:val="20"/>
        </w:rPr>
        <w:t>Cato</w:t>
      </w:r>
      <w:r>
        <w:rPr>
          <w:rFonts w:ascii="Calibri" w:hAnsi="Calibri"/>
          <w:i/>
          <w:color w:val="auto"/>
          <w:sz w:val="20"/>
          <w:szCs w:val="20"/>
        </w:rPr>
        <w:t>’</w:t>
      </w:r>
      <w:r w:rsidRPr="00C30612">
        <w:rPr>
          <w:rFonts w:ascii="Calibri" w:hAnsi="Calibri"/>
          <w:i/>
          <w:color w:val="auto"/>
          <w:sz w:val="20"/>
          <w:szCs w:val="20"/>
        </w:rPr>
        <w:t>s Letters</w:t>
      </w:r>
      <w:r w:rsidRPr="00C30612">
        <w:rPr>
          <w:rFonts w:ascii="Calibri" w:hAnsi="Calibri"/>
          <w:color w:val="auto"/>
          <w:sz w:val="20"/>
          <w:szCs w:val="20"/>
        </w:rPr>
        <w:t>,</w:t>
      </w:r>
      <w:r w:rsidRPr="00C30612">
        <w:rPr>
          <w:rFonts w:ascii="Calibri" w:hAnsi="Calibri"/>
          <w:i/>
          <w:color w:val="auto"/>
          <w:sz w:val="20"/>
          <w:szCs w:val="20"/>
        </w:rPr>
        <w:t xml:space="preserve"> </w:t>
      </w:r>
      <w:r w:rsidRPr="00C30612">
        <w:rPr>
          <w:rFonts w:ascii="Calibri" w:hAnsi="Calibri"/>
          <w:color w:val="auto"/>
          <w:sz w:val="20"/>
          <w:szCs w:val="20"/>
        </w:rPr>
        <w:t>vol. 2 (London, 1755), p. 272.</w:t>
      </w:r>
    </w:p>
  </w:footnote>
  <w:footnote w:id="69">
    <w:p w14:paraId="4C4A5A8A" w14:textId="3F7FA92C" w:rsidR="00F11556" w:rsidRPr="00C30612" w:rsidRDefault="00F11556" w:rsidP="00D73567">
      <w:pPr>
        <w:pStyle w:val="normal0"/>
        <w:spacing w:line="240" w:lineRule="auto"/>
        <w:contextualSpacing w:val="0"/>
        <w:rPr>
          <w:rFonts w:ascii="Calibri" w:hAnsi="Calibr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Samuel Taylor Coleridge, for instance: </w:t>
      </w:r>
      <w:r>
        <w:rPr>
          <w:rFonts w:ascii="Calibri" w:hAnsi="Calibri"/>
          <w:color w:val="auto"/>
          <w:sz w:val="20"/>
          <w:szCs w:val="20"/>
        </w:rPr>
        <w:t>“</w:t>
      </w:r>
      <w:r w:rsidRPr="00C30612">
        <w:rPr>
          <w:rFonts w:ascii="Calibri" w:hAnsi="Calibri"/>
          <w:color w:val="auto"/>
          <w:sz w:val="20"/>
          <w:szCs w:val="20"/>
        </w:rPr>
        <w:t>What are we to think of the soundness of this modern system of political economy, the direct tendency of every rule of which is to denationalize, and to make the love of our country a foolish superstition?</w:t>
      </w:r>
      <w:r>
        <w:rPr>
          <w:rFonts w:ascii="Calibri" w:hAnsi="Calibri"/>
          <w:color w:val="auto"/>
          <w:sz w:val="20"/>
          <w:szCs w:val="20"/>
        </w:rPr>
        <w:t>”</w:t>
      </w:r>
      <w:r w:rsidRPr="00C30612">
        <w:rPr>
          <w:rFonts w:ascii="Calibri" w:hAnsi="Calibri"/>
          <w:color w:val="auto"/>
          <w:sz w:val="20"/>
          <w:szCs w:val="20"/>
        </w:rPr>
        <w:t xml:space="preserve"> See Coleridge, </w:t>
      </w:r>
      <w:r w:rsidRPr="00C30612">
        <w:rPr>
          <w:rFonts w:ascii="Calibri" w:hAnsi="Calibri"/>
          <w:i/>
          <w:color w:val="auto"/>
          <w:sz w:val="20"/>
          <w:szCs w:val="20"/>
        </w:rPr>
        <w:t>Specimens of the Table Talk of the Late Samuel Taylor Coleridge</w:t>
      </w:r>
      <w:r w:rsidRPr="00C30612">
        <w:rPr>
          <w:rFonts w:ascii="Calibri" w:hAnsi="Calibri"/>
          <w:color w:val="auto"/>
          <w:sz w:val="20"/>
          <w:szCs w:val="20"/>
        </w:rPr>
        <w:t>, vol. 2, ed. Henry Nelson Coleridge (London, 1835), p. 334.</w:t>
      </w:r>
    </w:p>
  </w:footnote>
  <w:footnote w:id="70">
    <w:p w14:paraId="5B80425D" w14:textId="7FB437B8" w:rsidR="00F11556" w:rsidRPr="00C30612" w:rsidRDefault="00F11556" w:rsidP="00D73567">
      <w:pPr>
        <w:pStyle w:val="normal0"/>
        <w:spacing w:line="240" w:lineRule="auto"/>
        <w:contextualSpacing w:val="0"/>
        <w:rPr>
          <w:rFonts w:ascii="Calibri" w:hAnsi="Calibr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William Robertson, </w:t>
      </w:r>
      <w:r w:rsidRPr="00C30612">
        <w:rPr>
          <w:rFonts w:ascii="Calibri" w:hAnsi="Calibri"/>
          <w:i/>
          <w:color w:val="auto"/>
          <w:sz w:val="20"/>
          <w:szCs w:val="20"/>
        </w:rPr>
        <w:t>View of the Progress of Society in Europe</w:t>
      </w:r>
      <w:r w:rsidRPr="00C30612">
        <w:rPr>
          <w:rFonts w:ascii="Calibri" w:hAnsi="Calibri"/>
          <w:color w:val="auto"/>
          <w:sz w:val="20"/>
          <w:szCs w:val="20"/>
        </w:rPr>
        <w:t xml:space="preserve">, in </w:t>
      </w:r>
      <w:r w:rsidRPr="00C30612">
        <w:rPr>
          <w:rFonts w:ascii="Calibri" w:hAnsi="Calibri"/>
          <w:i/>
          <w:color w:val="auto"/>
          <w:sz w:val="20"/>
          <w:szCs w:val="20"/>
        </w:rPr>
        <w:t>Commerce, Culture, and Liberty</w:t>
      </w:r>
      <w:r w:rsidRPr="00C30612">
        <w:rPr>
          <w:rFonts w:ascii="Calibri" w:hAnsi="Calibri"/>
          <w:color w:val="auto"/>
          <w:sz w:val="20"/>
          <w:szCs w:val="20"/>
        </w:rPr>
        <w:t>, pp. 508-9.</w:t>
      </w:r>
    </w:p>
  </w:footnote>
  <w:footnote w:id="71">
    <w:p w14:paraId="627EC8A5" w14:textId="497215C0" w:rsidR="00F11556" w:rsidRPr="00C30612" w:rsidRDefault="00F11556" w:rsidP="00D73567">
      <w:pPr>
        <w:pStyle w:val="normal0"/>
        <w:spacing w:line="240" w:lineRule="auto"/>
        <w:contextualSpacing w:val="0"/>
        <w:rPr>
          <w:rFonts w:ascii="Calibri" w:hAnsi="Calibr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Voltaire, </w:t>
      </w:r>
      <w:r w:rsidRPr="00C30612">
        <w:rPr>
          <w:rFonts w:ascii="Calibri" w:hAnsi="Calibri"/>
          <w:i/>
          <w:color w:val="auto"/>
          <w:sz w:val="20"/>
          <w:szCs w:val="20"/>
        </w:rPr>
        <w:t>Correspondence</w:t>
      </w:r>
      <w:r>
        <w:rPr>
          <w:rFonts w:ascii="Calibri" w:hAnsi="Calibri"/>
          <w:color w:val="auto"/>
          <w:sz w:val="20"/>
          <w:szCs w:val="20"/>
        </w:rPr>
        <w:t>, vol. 1</w:t>
      </w:r>
      <w:r w:rsidRPr="00C30612">
        <w:rPr>
          <w:rFonts w:ascii="Calibri" w:hAnsi="Calibri"/>
          <w:color w:val="auto"/>
          <w:sz w:val="20"/>
          <w:szCs w:val="20"/>
        </w:rPr>
        <w:t>, ed. Theodore Besterman (Geneva, 1953-65), pp. 146-7.</w:t>
      </w:r>
    </w:p>
  </w:footnote>
  <w:footnote w:id="72">
    <w:p w14:paraId="34E43A22" w14:textId="35D2F3D2" w:rsidR="00F11556" w:rsidRPr="00C30612" w:rsidRDefault="00F11556" w:rsidP="00D73567">
      <w:pPr>
        <w:pStyle w:val="normal0"/>
        <w:spacing w:line="240" w:lineRule="auto"/>
        <w:contextualSpacing w:val="0"/>
        <w:rPr>
          <w:rFonts w:ascii="Calibri" w:hAnsi="Calibr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Voltaire, </w:t>
      </w:r>
      <w:r w:rsidRPr="00C30612">
        <w:rPr>
          <w:rFonts w:ascii="Calibri" w:hAnsi="Calibri"/>
          <w:i/>
          <w:color w:val="auto"/>
          <w:sz w:val="20"/>
          <w:szCs w:val="20"/>
        </w:rPr>
        <w:t>Correspondence</w:t>
      </w:r>
      <w:r>
        <w:rPr>
          <w:rFonts w:ascii="Calibri" w:hAnsi="Calibri"/>
          <w:color w:val="auto"/>
          <w:sz w:val="20"/>
          <w:szCs w:val="20"/>
        </w:rPr>
        <w:t>, vol. 86</w:t>
      </w:r>
      <w:r w:rsidRPr="00C30612">
        <w:rPr>
          <w:rFonts w:ascii="Calibri" w:hAnsi="Calibri"/>
          <w:color w:val="auto"/>
          <w:sz w:val="20"/>
          <w:szCs w:val="20"/>
        </w:rPr>
        <w:t>, p. 166.</w:t>
      </w:r>
    </w:p>
  </w:footnote>
  <w:footnote w:id="73">
    <w:p w14:paraId="3296FC2D" w14:textId="2C2D029D" w:rsidR="00F11556" w:rsidRPr="00C30612" w:rsidRDefault="00F11556" w:rsidP="00D73567">
      <w:pPr>
        <w:pStyle w:val="normal0"/>
        <w:spacing w:line="240" w:lineRule="auto"/>
        <w:contextualSpacing w:val="0"/>
        <w:rPr>
          <w:rFonts w:ascii="Calibri" w:hAnsi="Calibr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Voltaire, </w:t>
      </w:r>
      <w:r w:rsidRPr="00C30612">
        <w:rPr>
          <w:rFonts w:ascii="Calibri" w:hAnsi="Calibri"/>
          <w:i/>
          <w:color w:val="auto"/>
          <w:sz w:val="20"/>
          <w:szCs w:val="20"/>
        </w:rPr>
        <w:t>Philosophical Dictionary</w:t>
      </w:r>
      <w:r w:rsidRPr="00C30612">
        <w:rPr>
          <w:rFonts w:ascii="Calibri" w:hAnsi="Calibri"/>
          <w:color w:val="auto"/>
          <w:sz w:val="20"/>
          <w:szCs w:val="20"/>
        </w:rPr>
        <w:t>, pp. 70, 76.</w:t>
      </w:r>
    </w:p>
  </w:footnote>
  <w:footnote w:id="74">
    <w:p w14:paraId="65550B4F" w14:textId="2D4A619F" w:rsidR="00F11556" w:rsidRPr="00C30612" w:rsidRDefault="00F11556" w:rsidP="00D73567">
      <w:pPr>
        <w:pStyle w:val="normal0"/>
        <w:spacing w:line="240" w:lineRule="auto"/>
        <w:contextualSpacing w:val="0"/>
        <w:rPr>
          <w:rFonts w:ascii="Calibri" w:hAnsi="Calibr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For instance, commerce was held to be a bulwark against the intolerance of the Inquisition: </w:t>
      </w:r>
      <w:r>
        <w:rPr>
          <w:rFonts w:ascii="Calibri" w:hAnsi="Calibri"/>
          <w:color w:val="auto"/>
          <w:sz w:val="20"/>
          <w:szCs w:val="20"/>
        </w:rPr>
        <w:t>“</w:t>
      </w:r>
      <w:r w:rsidRPr="00C30612">
        <w:rPr>
          <w:rFonts w:ascii="Calibri" w:hAnsi="Calibri"/>
          <w:color w:val="auto"/>
          <w:sz w:val="20"/>
          <w:szCs w:val="20"/>
        </w:rPr>
        <w:t>Trade and the inquisition are incompatible. Were it to be established at London, or at Amsterdam, those cities would neither be so populous nor so opulent. We find that when Philip II would fain introduce it into the Netherlands, the interruption of commerce was one of the principal causes of the revolution of that country</w:t>
      </w:r>
      <w:r>
        <w:rPr>
          <w:rFonts w:ascii="Calibri" w:hAnsi="Calibri"/>
          <w:color w:val="auto"/>
          <w:sz w:val="20"/>
          <w:szCs w:val="20"/>
        </w:rPr>
        <w:t>.”</w:t>
      </w:r>
      <w:r w:rsidRPr="00C30612">
        <w:rPr>
          <w:rFonts w:ascii="Calibri" w:hAnsi="Calibri"/>
          <w:color w:val="auto"/>
          <w:sz w:val="20"/>
          <w:szCs w:val="20"/>
        </w:rPr>
        <w:t xml:space="preserve"> In another instance of </w:t>
      </w:r>
      <w:r w:rsidRPr="00C30612">
        <w:rPr>
          <w:rFonts w:ascii="Calibri" w:hAnsi="Calibri"/>
          <w:i/>
          <w:color w:val="auto"/>
          <w:sz w:val="20"/>
          <w:szCs w:val="20"/>
        </w:rPr>
        <w:t>doux commerce</w:t>
      </w:r>
      <w:r w:rsidRPr="00C30612">
        <w:rPr>
          <w:rFonts w:ascii="Calibri" w:hAnsi="Calibri"/>
          <w:color w:val="auto"/>
          <w:sz w:val="20"/>
          <w:szCs w:val="20"/>
        </w:rPr>
        <w:t xml:space="preserve"> thinking, trade was credited with softening manners in Renaissance England: </w:t>
      </w:r>
      <w:r>
        <w:rPr>
          <w:rFonts w:ascii="Calibri" w:hAnsi="Calibri"/>
          <w:color w:val="auto"/>
          <w:sz w:val="20"/>
          <w:szCs w:val="20"/>
        </w:rPr>
        <w:t>“</w:t>
      </w:r>
      <w:r w:rsidRPr="00C30612">
        <w:rPr>
          <w:rFonts w:ascii="Calibri" w:hAnsi="Calibri"/>
          <w:color w:val="auto"/>
          <w:sz w:val="20"/>
          <w:szCs w:val="20"/>
        </w:rPr>
        <w:t>The manners of the people were more gloomy in England [than in France], where a capricious cruel prince sat on the throne; but London at the time was beginning to taste the sweets of commerce</w:t>
      </w:r>
      <w:r>
        <w:rPr>
          <w:rFonts w:ascii="Calibri" w:hAnsi="Calibri"/>
          <w:color w:val="auto"/>
          <w:sz w:val="20"/>
          <w:szCs w:val="20"/>
        </w:rPr>
        <w:t>.”</w:t>
      </w:r>
      <w:r w:rsidRPr="00C30612">
        <w:rPr>
          <w:rFonts w:ascii="Calibri" w:hAnsi="Calibri"/>
          <w:color w:val="auto"/>
          <w:sz w:val="20"/>
          <w:szCs w:val="20"/>
        </w:rPr>
        <w:t xml:space="preserve"> Voltaire, </w:t>
      </w:r>
      <w:r w:rsidRPr="00C30612">
        <w:rPr>
          <w:rFonts w:ascii="Calibri" w:hAnsi="Calibri"/>
          <w:i/>
          <w:color w:val="auto"/>
          <w:sz w:val="20"/>
          <w:szCs w:val="20"/>
        </w:rPr>
        <w:t>An Essay on Universal History, The Manners, and Spirit of Nations</w:t>
      </w:r>
      <w:r w:rsidRPr="00C30612">
        <w:rPr>
          <w:rFonts w:ascii="Calibri" w:hAnsi="Calibri"/>
          <w:color w:val="auto"/>
          <w:sz w:val="20"/>
          <w:szCs w:val="20"/>
        </w:rPr>
        <w:t xml:space="preserve"> (translation of </w:t>
      </w:r>
      <w:r w:rsidRPr="00C30612">
        <w:rPr>
          <w:rFonts w:ascii="Calibri" w:hAnsi="Calibri"/>
          <w:i/>
          <w:color w:val="auto"/>
          <w:sz w:val="20"/>
          <w:szCs w:val="20"/>
        </w:rPr>
        <w:t>Essai sur les moeurs</w:t>
      </w:r>
      <w:r w:rsidRPr="00C30612">
        <w:rPr>
          <w:rFonts w:ascii="Calibri" w:hAnsi="Calibri"/>
          <w:color w:val="auto"/>
          <w:sz w:val="20"/>
          <w:szCs w:val="20"/>
        </w:rPr>
        <w:t xml:space="preserve">), trans. Thomas Nugent (London, </w:t>
      </w:r>
      <w:r>
        <w:rPr>
          <w:rFonts w:ascii="Calibri" w:hAnsi="Calibri"/>
          <w:color w:val="auto"/>
          <w:sz w:val="20"/>
          <w:szCs w:val="20"/>
        </w:rPr>
        <w:t>1759), vol. 3, p. 179; vol. 2, p</w:t>
      </w:r>
      <w:r w:rsidRPr="00C30612">
        <w:rPr>
          <w:rFonts w:ascii="Calibri" w:hAnsi="Calibri"/>
          <w:color w:val="auto"/>
          <w:sz w:val="20"/>
          <w:szCs w:val="20"/>
        </w:rPr>
        <w:t xml:space="preserve">. 379. On the </w:t>
      </w:r>
      <w:r w:rsidRPr="00C30612">
        <w:rPr>
          <w:rFonts w:ascii="Calibri" w:hAnsi="Calibri"/>
          <w:i/>
          <w:color w:val="auto"/>
          <w:sz w:val="20"/>
          <w:szCs w:val="20"/>
        </w:rPr>
        <w:t>doux commerce</w:t>
      </w:r>
      <w:r w:rsidRPr="00C30612">
        <w:rPr>
          <w:rFonts w:ascii="Calibri" w:hAnsi="Calibri"/>
          <w:color w:val="auto"/>
          <w:sz w:val="20"/>
          <w:szCs w:val="20"/>
        </w:rPr>
        <w:t xml:space="preserve"> thesis in general (a phrase popularized in modern historiography by Albert O. Hirschman), see Hirschman, </w:t>
      </w:r>
      <w:r w:rsidRPr="00C30612">
        <w:rPr>
          <w:rFonts w:ascii="Calibri" w:hAnsi="Calibri"/>
          <w:i/>
          <w:color w:val="auto"/>
          <w:sz w:val="20"/>
          <w:szCs w:val="20"/>
        </w:rPr>
        <w:t>The Passions and the Interests: Political Arguments for Capitalism before Its Triumph</w:t>
      </w:r>
      <w:r w:rsidRPr="00C30612">
        <w:rPr>
          <w:rFonts w:ascii="Calibri" w:hAnsi="Calibri"/>
          <w:color w:val="auto"/>
          <w:sz w:val="20"/>
          <w:szCs w:val="20"/>
        </w:rPr>
        <w:t>, 2</w:t>
      </w:r>
      <w:r w:rsidRPr="00C30612">
        <w:rPr>
          <w:rFonts w:ascii="Calibri" w:hAnsi="Calibri"/>
          <w:color w:val="auto"/>
          <w:sz w:val="20"/>
          <w:szCs w:val="20"/>
          <w:vertAlign w:val="superscript"/>
        </w:rPr>
        <w:t>nd</w:t>
      </w:r>
      <w:r w:rsidRPr="00C30612">
        <w:rPr>
          <w:rFonts w:ascii="Calibri" w:hAnsi="Calibri"/>
          <w:color w:val="auto"/>
          <w:sz w:val="20"/>
          <w:szCs w:val="20"/>
        </w:rPr>
        <w:t xml:space="preserve"> ed. (Princeton, 1996), pp. 59-62.</w:t>
      </w:r>
    </w:p>
  </w:footnote>
  <w:footnote w:id="75">
    <w:p w14:paraId="0A9FC20D" w14:textId="591B4C03" w:rsidR="00F11556" w:rsidRPr="00C30612" w:rsidRDefault="00F11556" w:rsidP="00D73567">
      <w:pPr>
        <w:pStyle w:val="normal0"/>
        <w:spacing w:line="240" w:lineRule="auto"/>
        <w:contextualSpacing w:val="0"/>
        <w:rPr>
          <w:rFonts w:ascii="Calibri" w:hAnsi="Calibr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Mitchell, </w:t>
      </w:r>
      <w:r>
        <w:rPr>
          <w:rFonts w:ascii="Calibri" w:hAnsi="Calibri"/>
          <w:i/>
          <w:color w:val="auto"/>
          <w:sz w:val="20"/>
          <w:szCs w:val="20"/>
        </w:rPr>
        <w:t>Voltaire’s</w:t>
      </w:r>
      <w:r w:rsidRPr="00C30612">
        <w:rPr>
          <w:rFonts w:ascii="Calibri" w:hAnsi="Calibri"/>
          <w:i/>
          <w:color w:val="auto"/>
          <w:sz w:val="20"/>
          <w:szCs w:val="20"/>
        </w:rPr>
        <w:t xml:space="preserve"> Jews</w:t>
      </w:r>
      <w:r w:rsidRPr="00C30612">
        <w:rPr>
          <w:rFonts w:ascii="Calibri" w:hAnsi="Calibri"/>
          <w:color w:val="auto"/>
          <w:sz w:val="20"/>
          <w:szCs w:val="20"/>
        </w:rPr>
        <w:t xml:space="preserve">, pp. 64, 79. To be fair to Voltaire, he did number Jews among the peoples mingling peaceably in his well-known account of the London Exchange; Muller, </w:t>
      </w:r>
      <w:r w:rsidRPr="00C30612">
        <w:rPr>
          <w:rFonts w:ascii="Calibri" w:hAnsi="Calibri"/>
          <w:i/>
          <w:color w:val="auto"/>
          <w:sz w:val="20"/>
          <w:szCs w:val="20"/>
        </w:rPr>
        <w:t>The Mind and the Market</w:t>
      </w:r>
      <w:r w:rsidRPr="00C30612">
        <w:rPr>
          <w:rFonts w:ascii="Calibri" w:hAnsi="Calibri"/>
          <w:color w:val="auto"/>
          <w:sz w:val="20"/>
          <w:szCs w:val="20"/>
        </w:rPr>
        <w:t>, p. 29.</w:t>
      </w:r>
    </w:p>
  </w:footnote>
  <w:footnote w:id="76">
    <w:p w14:paraId="2DE412DD" w14:textId="49EE4B96" w:rsidR="00F11556" w:rsidRPr="00C30612" w:rsidRDefault="00F11556" w:rsidP="00D73567">
      <w:pPr>
        <w:pStyle w:val="normal0"/>
        <w:spacing w:line="240" w:lineRule="auto"/>
        <w:contextualSpacing w:val="0"/>
        <w:rPr>
          <w:rFonts w:ascii="Calibri" w:hAnsi="Calibr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Voltaire, </w:t>
      </w:r>
      <w:r w:rsidRPr="00C30612">
        <w:rPr>
          <w:rFonts w:ascii="Calibri" w:hAnsi="Calibri"/>
          <w:i/>
          <w:color w:val="auto"/>
          <w:sz w:val="20"/>
          <w:szCs w:val="20"/>
        </w:rPr>
        <w:t>Philosophical Dictionary</w:t>
      </w:r>
      <w:r w:rsidRPr="00C30612">
        <w:rPr>
          <w:rFonts w:ascii="Calibri" w:hAnsi="Calibri"/>
          <w:color w:val="auto"/>
          <w:sz w:val="20"/>
          <w:szCs w:val="20"/>
        </w:rPr>
        <w:t>, p. 70.</w:t>
      </w:r>
    </w:p>
  </w:footnote>
  <w:footnote w:id="77">
    <w:p w14:paraId="1F3480E5" w14:textId="19D9C162" w:rsidR="00F11556" w:rsidRPr="00C30612" w:rsidRDefault="00F11556" w:rsidP="00D73567">
      <w:pPr>
        <w:pStyle w:val="normal0"/>
        <w:spacing w:line="240" w:lineRule="auto"/>
        <w:contextualSpacing w:val="0"/>
        <w:rPr>
          <w:rFonts w:ascii="Calibri" w:hAnsi="Calibr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That exclusion might be explained by the fact that the </w:t>
      </w:r>
      <w:r w:rsidRPr="00C30612">
        <w:rPr>
          <w:rFonts w:ascii="Calibri" w:hAnsi="Calibri"/>
          <w:i/>
          <w:color w:val="auto"/>
          <w:sz w:val="20"/>
          <w:szCs w:val="20"/>
        </w:rPr>
        <w:t xml:space="preserve">Essay </w:t>
      </w:r>
      <w:r w:rsidRPr="00C30612">
        <w:rPr>
          <w:rFonts w:ascii="Calibri" w:hAnsi="Calibri"/>
          <w:color w:val="auto"/>
          <w:sz w:val="20"/>
          <w:szCs w:val="20"/>
        </w:rPr>
        <w:t xml:space="preserve">was originally published ten years before the </w:t>
      </w:r>
      <w:r w:rsidRPr="00C30612">
        <w:rPr>
          <w:rFonts w:ascii="Calibri" w:hAnsi="Calibri"/>
          <w:i/>
          <w:color w:val="auto"/>
          <w:sz w:val="20"/>
          <w:szCs w:val="20"/>
        </w:rPr>
        <w:t>Dictionary</w:t>
      </w:r>
      <w:r w:rsidRPr="00C30612">
        <w:rPr>
          <w:rFonts w:ascii="Calibri" w:hAnsi="Calibri"/>
          <w:color w:val="auto"/>
          <w:sz w:val="20"/>
          <w:szCs w:val="20"/>
        </w:rPr>
        <w:t xml:space="preserve">; perhaps Voltaire only discovered </w:t>
      </w:r>
      <w:r>
        <w:rPr>
          <w:rFonts w:ascii="Calibri" w:hAnsi="Calibri"/>
          <w:color w:val="auto"/>
          <w:sz w:val="20"/>
          <w:szCs w:val="20"/>
        </w:rPr>
        <w:t>Montesquieu’s</w:t>
      </w:r>
      <w:r w:rsidRPr="00C30612">
        <w:rPr>
          <w:rFonts w:ascii="Calibri" w:hAnsi="Calibri"/>
          <w:color w:val="auto"/>
          <w:sz w:val="20"/>
          <w:szCs w:val="20"/>
        </w:rPr>
        <w:t xml:space="preserve"> argument in the intervening period. Against that possibility, though, are the facts that </w:t>
      </w:r>
      <w:r w:rsidRPr="00C30612">
        <w:rPr>
          <w:rFonts w:ascii="Calibri" w:hAnsi="Calibri"/>
          <w:i/>
          <w:color w:val="auto"/>
          <w:sz w:val="20"/>
          <w:szCs w:val="20"/>
        </w:rPr>
        <w:t>The Spirit of the Laws</w:t>
      </w:r>
      <w:r w:rsidRPr="00C30612">
        <w:rPr>
          <w:rFonts w:ascii="Calibri" w:hAnsi="Calibri"/>
          <w:color w:val="auto"/>
          <w:sz w:val="20"/>
          <w:szCs w:val="20"/>
        </w:rPr>
        <w:t xml:space="preserve"> had been in print for six years before the publication of the </w:t>
      </w:r>
      <w:r w:rsidRPr="00C30612">
        <w:rPr>
          <w:rFonts w:ascii="Calibri" w:hAnsi="Calibri"/>
          <w:i/>
          <w:color w:val="auto"/>
          <w:sz w:val="20"/>
          <w:szCs w:val="20"/>
        </w:rPr>
        <w:t>Essay</w:t>
      </w:r>
      <w:r w:rsidRPr="00C30612">
        <w:rPr>
          <w:rFonts w:ascii="Calibri" w:hAnsi="Calibri"/>
          <w:color w:val="auto"/>
          <w:sz w:val="20"/>
          <w:szCs w:val="20"/>
        </w:rPr>
        <w:t xml:space="preserve">; that </w:t>
      </w:r>
      <w:r>
        <w:rPr>
          <w:rFonts w:ascii="Calibri" w:hAnsi="Calibri"/>
          <w:color w:val="auto"/>
          <w:sz w:val="20"/>
          <w:szCs w:val="20"/>
        </w:rPr>
        <w:t>Voltaire’s</w:t>
      </w:r>
      <w:r w:rsidRPr="00C30612">
        <w:rPr>
          <w:rFonts w:ascii="Calibri" w:hAnsi="Calibri"/>
          <w:color w:val="auto"/>
          <w:sz w:val="20"/>
          <w:szCs w:val="20"/>
        </w:rPr>
        <w:t xml:space="preserve"> work on the </w:t>
      </w:r>
      <w:r w:rsidRPr="00C30612">
        <w:rPr>
          <w:rFonts w:ascii="Calibri" w:hAnsi="Calibri"/>
          <w:i/>
          <w:color w:val="auto"/>
          <w:sz w:val="20"/>
          <w:szCs w:val="20"/>
        </w:rPr>
        <w:t xml:space="preserve">Essay </w:t>
      </w:r>
      <w:r w:rsidRPr="00C30612">
        <w:rPr>
          <w:rFonts w:ascii="Calibri" w:hAnsi="Calibri"/>
          <w:color w:val="auto"/>
          <w:sz w:val="20"/>
          <w:szCs w:val="20"/>
        </w:rPr>
        <w:t xml:space="preserve">and </w:t>
      </w:r>
      <w:r w:rsidRPr="00C30612">
        <w:rPr>
          <w:rFonts w:ascii="Calibri" w:hAnsi="Calibri"/>
          <w:i/>
          <w:color w:val="auto"/>
          <w:sz w:val="20"/>
          <w:szCs w:val="20"/>
        </w:rPr>
        <w:t>Dictionary</w:t>
      </w:r>
      <w:r w:rsidRPr="00C30612">
        <w:rPr>
          <w:rFonts w:ascii="Calibri" w:hAnsi="Calibri"/>
          <w:color w:val="auto"/>
          <w:sz w:val="20"/>
          <w:szCs w:val="20"/>
        </w:rPr>
        <w:t xml:space="preserve"> overlapped; that Voltaire continued to revise the </w:t>
      </w:r>
      <w:r w:rsidRPr="00C30612">
        <w:rPr>
          <w:rFonts w:ascii="Calibri" w:hAnsi="Calibri"/>
          <w:i/>
          <w:color w:val="auto"/>
          <w:sz w:val="20"/>
          <w:szCs w:val="20"/>
        </w:rPr>
        <w:t xml:space="preserve">Essay </w:t>
      </w:r>
      <w:r w:rsidRPr="00C30612">
        <w:rPr>
          <w:rFonts w:ascii="Calibri" w:hAnsi="Calibri"/>
          <w:color w:val="auto"/>
          <w:sz w:val="20"/>
          <w:szCs w:val="20"/>
        </w:rPr>
        <w:t xml:space="preserve">throughout his life and did not see fit to include this salient fact, of which he was aware; and the fact that the notion crediting Jews with the invention of letters of exchange in fact preceded Montesquieu and had been in circulation since the mid-seventeenth century. See Trivellato, </w:t>
      </w:r>
      <w:r>
        <w:rPr>
          <w:rFonts w:ascii="Calibri" w:hAnsi="Calibri"/>
          <w:color w:val="auto"/>
          <w:sz w:val="20"/>
          <w:szCs w:val="20"/>
        </w:rPr>
        <w:t>“</w:t>
      </w:r>
      <w:r w:rsidRPr="00C30612">
        <w:rPr>
          <w:rFonts w:ascii="Calibri" w:hAnsi="Calibri"/>
          <w:color w:val="auto"/>
          <w:sz w:val="20"/>
          <w:szCs w:val="20"/>
        </w:rPr>
        <w:t>Credit, Honor</w:t>
      </w:r>
      <w:r>
        <w:rPr>
          <w:rFonts w:ascii="Calibri" w:hAnsi="Calibri"/>
          <w:color w:val="auto"/>
          <w:sz w:val="20"/>
          <w:szCs w:val="20"/>
        </w:rPr>
        <w:t>,”</w:t>
      </w:r>
      <w:r w:rsidRPr="00C30612">
        <w:rPr>
          <w:rFonts w:ascii="Calibri" w:hAnsi="Calibri"/>
          <w:color w:val="auto"/>
          <w:sz w:val="20"/>
          <w:szCs w:val="20"/>
        </w:rPr>
        <w:t xml:space="preserve"> p. 304; and Benjamin Arbel, </w:t>
      </w:r>
      <w:r>
        <w:rPr>
          <w:rFonts w:ascii="Calibri" w:hAnsi="Calibri"/>
          <w:color w:val="auto"/>
          <w:sz w:val="20"/>
          <w:szCs w:val="20"/>
        </w:rPr>
        <w:t>“</w:t>
      </w:r>
      <w:r w:rsidRPr="00C30612">
        <w:rPr>
          <w:rFonts w:ascii="Calibri" w:hAnsi="Calibri"/>
          <w:color w:val="auto"/>
          <w:sz w:val="20"/>
          <w:szCs w:val="20"/>
        </w:rPr>
        <w:t xml:space="preserve">Jews, the Rise of Capitalism and </w:t>
      </w:r>
      <w:r w:rsidRPr="00C30612">
        <w:rPr>
          <w:rFonts w:ascii="Calibri" w:hAnsi="Calibri"/>
          <w:i/>
          <w:color w:val="auto"/>
          <w:sz w:val="20"/>
          <w:szCs w:val="20"/>
        </w:rPr>
        <w:t xml:space="preserve">Cambio: </w:t>
      </w:r>
      <w:r w:rsidRPr="00C30612">
        <w:rPr>
          <w:rFonts w:ascii="Calibri" w:hAnsi="Calibri"/>
          <w:color w:val="auto"/>
          <w:sz w:val="20"/>
          <w:szCs w:val="20"/>
        </w:rPr>
        <w:t>Commercial Credit and Maritime Insurance in the Early Modern Mediterranean World</w:t>
      </w:r>
      <w:r>
        <w:rPr>
          <w:rFonts w:ascii="Calibri" w:hAnsi="Calibri"/>
          <w:color w:val="auto"/>
          <w:sz w:val="20"/>
          <w:szCs w:val="20"/>
        </w:rPr>
        <w:t>,”</w:t>
      </w:r>
      <w:r w:rsidRPr="00C30612">
        <w:rPr>
          <w:rFonts w:ascii="Calibri" w:hAnsi="Calibri"/>
          <w:color w:val="auto"/>
          <w:sz w:val="20"/>
          <w:szCs w:val="20"/>
        </w:rPr>
        <w:t xml:space="preserve"> </w:t>
      </w:r>
      <w:r w:rsidRPr="00C30612">
        <w:rPr>
          <w:rFonts w:ascii="Calibri" w:hAnsi="Calibri"/>
          <w:i/>
          <w:color w:val="auto"/>
          <w:sz w:val="20"/>
          <w:szCs w:val="20"/>
        </w:rPr>
        <w:t>Zion</w:t>
      </w:r>
      <w:r w:rsidRPr="00C30612">
        <w:rPr>
          <w:rFonts w:ascii="Calibri" w:hAnsi="Calibri"/>
          <w:color w:val="auto"/>
          <w:sz w:val="20"/>
          <w:szCs w:val="20"/>
        </w:rPr>
        <w:t xml:space="preserve"> 69 (2) (2004), pp. 157-202.</w:t>
      </w:r>
    </w:p>
  </w:footnote>
  <w:footnote w:id="78">
    <w:p w14:paraId="21CEDB62" w14:textId="15F050FF" w:rsidR="00F11556" w:rsidRPr="00C30612" w:rsidRDefault="00F11556" w:rsidP="00D73567">
      <w:pPr>
        <w:pStyle w:val="normal0"/>
        <w:spacing w:line="240" w:lineRule="auto"/>
        <w:contextualSpacing w:val="0"/>
        <w:rPr>
          <w:rFonts w:ascii="Calibri" w:hAnsi="Calibr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Jean-Jacques Rousseau, </w:t>
      </w:r>
      <w:r>
        <w:rPr>
          <w:rFonts w:ascii="Calibri" w:hAnsi="Calibri"/>
          <w:color w:val="auto"/>
          <w:sz w:val="20"/>
          <w:szCs w:val="20"/>
        </w:rPr>
        <w:t>“</w:t>
      </w:r>
      <w:r w:rsidRPr="00C30612">
        <w:rPr>
          <w:rFonts w:ascii="Calibri" w:hAnsi="Calibri"/>
          <w:color w:val="auto"/>
          <w:sz w:val="20"/>
          <w:szCs w:val="20"/>
        </w:rPr>
        <w:t>Luxury, Commerce, and the Arts</w:t>
      </w:r>
      <w:r>
        <w:rPr>
          <w:rFonts w:ascii="Calibri" w:hAnsi="Calibri"/>
          <w:color w:val="auto"/>
          <w:sz w:val="20"/>
          <w:szCs w:val="20"/>
        </w:rPr>
        <w:t>,”</w:t>
      </w:r>
      <w:r w:rsidRPr="00C30612">
        <w:rPr>
          <w:rFonts w:ascii="Calibri" w:hAnsi="Calibri"/>
          <w:color w:val="auto"/>
          <w:sz w:val="20"/>
          <w:szCs w:val="20"/>
        </w:rPr>
        <w:t xml:space="preserve"> in </w:t>
      </w:r>
      <w:r w:rsidRPr="00C30612">
        <w:rPr>
          <w:rFonts w:ascii="Calibri" w:hAnsi="Calibri"/>
          <w:i/>
          <w:color w:val="auto"/>
          <w:sz w:val="20"/>
          <w:szCs w:val="20"/>
        </w:rPr>
        <w:t>Commerce, Culture, and Liberty</w:t>
      </w:r>
      <w:r w:rsidRPr="00C30612">
        <w:rPr>
          <w:rFonts w:ascii="Calibri" w:hAnsi="Calibri"/>
          <w:color w:val="auto"/>
          <w:sz w:val="20"/>
          <w:szCs w:val="20"/>
        </w:rPr>
        <w:t>, p. 395.</w:t>
      </w:r>
    </w:p>
  </w:footnote>
  <w:footnote w:id="79">
    <w:p w14:paraId="17C2F082" w14:textId="6AB7DF84" w:rsidR="00F11556" w:rsidRPr="00C30612" w:rsidRDefault="00F11556" w:rsidP="00D73567">
      <w:pPr>
        <w:pStyle w:val="normal0"/>
        <w:spacing w:line="240" w:lineRule="auto"/>
        <w:contextualSpacing w:val="0"/>
        <w:rPr>
          <w:rFonts w:ascii="Calibri" w:hAnsi="Calibr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Adam Ferguson, </w:t>
      </w:r>
      <w:r w:rsidRPr="00C30612">
        <w:rPr>
          <w:rFonts w:ascii="Calibri" w:hAnsi="Calibri"/>
          <w:i/>
          <w:color w:val="auto"/>
          <w:sz w:val="20"/>
          <w:szCs w:val="20"/>
        </w:rPr>
        <w:t>An Essay on the History of Civil Society</w:t>
      </w:r>
      <w:r w:rsidRPr="00C30612">
        <w:rPr>
          <w:rFonts w:ascii="Calibri" w:hAnsi="Calibri"/>
          <w:color w:val="auto"/>
          <w:sz w:val="20"/>
          <w:szCs w:val="20"/>
        </w:rPr>
        <w:t xml:space="preserve"> (Dublin, 1767), pp. 238, 242.</w:t>
      </w:r>
    </w:p>
  </w:footnote>
  <w:footnote w:id="80">
    <w:p w14:paraId="3B78CC13" w14:textId="2B06BD38" w:rsidR="00F11556" w:rsidRPr="00C30612" w:rsidRDefault="00F11556" w:rsidP="00D73567">
      <w:pPr>
        <w:pStyle w:val="FootnoteText"/>
        <w:rPr>
          <w:rFonts w:ascii="Calibri" w:hAnsi="Calibri"/>
          <w:sz w:val="20"/>
          <w:szCs w:val="20"/>
        </w:rPr>
      </w:pPr>
      <w:r w:rsidRPr="00C30612">
        <w:rPr>
          <w:rStyle w:val="FootnoteReference"/>
          <w:rFonts w:ascii="Calibri" w:hAnsi="Calibri"/>
          <w:sz w:val="20"/>
          <w:szCs w:val="20"/>
        </w:rPr>
        <w:footnoteRef/>
      </w:r>
      <w:r w:rsidRPr="00C30612">
        <w:rPr>
          <w:rFonts w:ascii="Calibri" w:hAnsi="Calibri"/>
          <w:sz w:val="20"/>
          <w:szCs w:val="20"/>
        </w:rPr>
        <w:t xml:space="preserve"> John Shovlin, </w:t>
      </w:r>
      <w:r w:rsidRPr="00C30612">
        <w:rPr>
          <w:rFonts w:ascii="Calibri" w:hAnsi="Calibri"/>
          <w:i/>
          <w:sz w:val="20"/>
          <w:szCs w:val="20"/>
        </w:rPr>
        <w:t>The Political Economy of Virtue</w:t>
      </w:r>
      <w:r w:rsidRPr="00C30612">
        <w:rPr>
          <w:rFonts w:ascii="Calibri" w:hAnsi="Calibri"/>
          <w:sz w:val="20"/>
          <w:szCs w:val="20"/>
        </w:rPr>
        <w:t>, p. 13.</w:t>
      </w:r>
    </w:p>
  </w:footnote>
  <w:footnote w:id="81">
    <w:p w14:paraId="2C915DA8" w14:textId="701BC665" w:rsidR="00F11556" w:rsidRPr="00C30612" w:rsidRDefault="00F11556" w:rsidP="00D73567">
      <w:pPr>
        <w:pStyle w:val="normal0"/>
        <w:spacing w:line="240" w:lineRule="auto"/>
        <w:contextualSpacing w:val="0"/>
        <w:rPr>
          <w:rFonts w:ascii="Calibri" w:hAnsi="Calibr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Voltaire, </w:t>
      </w:r>
      <w:r w:rsidRPr="00C30612">
        <w:rPr>
          <w:rFonts w:ascii="Calibri" w:hAnsi="Calibri"/>
          <w:i/>
          <w:color w:val="auto"/>
          <w:sz w:val="20"/>
          <w:szCs w:val="20"/>
        </w:rPr>
        <w:t>Philosophical Dictionary</w:t>
      </w:r>
      <w:r w:rsidRPr="00C30612">
        <w:rPr>
          <w:rFonts w:ascii="Calibri" w:hAnsi="Calibri"/>
          <w:color w:val="auto"/>
          <w:sz w:val="20"/>
          <w:szCs w:val="20"/>
        </w:rPr>
        <w:t>, p. 181. Incidentally, this schema for the body politic echoes Plato</w:t>
      </w:r>
      <w:r>
        <w:rPr>
          <w:rFonts w:ascii="Calibri" w:hAnsi="Calibri"/>
          <w:color w:val="auto"/>
          <w:sz w:val="20"/>
          <w:szCs w:val="20"/>
        </w:rPr>
        <w:t>’</w:t>
      </w:r>
      <w:r w:rsidRPr="00C30612">
        <w:rPr>
          <w:rFonts w:ascii="Calibri" w:hAnsi="Calibri"/>
          <w:color w:val="auto"/>
          <w:sz w:val="20"/>
          <w:szCs w:val="20"/>
        </w:rPr>
        <w:t xml:space="preserve">s account of the tripartite soul: the Greeks correspond to the logical part, the Romans to the spirited part, and the Jews to the appetitive part. Thanks to </w:t>
      </w:r>
      <w:r w:rsidRPr="00C30612">
        <w:rPr>
          <w:rFonts w:ascii="Calibri" w:eastAsia="Times New Roman" w:hAnsi="Calibri"/>
          <w:color w:val="auto"/>
          <w:sz w:val="20"/>
          <w:szCs w:val="20"/>
          <w:shd w:val="clear" w:color="auto" w:fill="FFFFFF"/>
          <w:lang w:eastAsia="en-US"/>
        </w:rPr>
        <w:t xml:space="preserve">Turkuler Isiksel </w:t>
      </w:r>
      <w:r w:rsidRPr="00C30612">
        <w:rPr>
          <w:rFonts w:ascii="Calibri" w:hAnsi="Calibri"/>
          <w:color w:val="auto"/>
          <w:sz w:val="20"/>
          <w:szCs w:val="20"/>
        </w:rPr>
        <w:t>for this observation.</w:t>
      </w:r>
    </w:p>
  </w:footnote>
  <w:footnote w:id="82">
    <w:p w14:paraId="5FC2B2DF" w14:textId="3E8CF1F8" w:rsidR="00F11556" w:rsidRPr="00C30612" w:rsidRDefault="00F11556" w:rsidP="00D73567">
      <w:pPr>
        <w:pStyle w:val="normal0"/>
        <w:spacing w:line="240" w:lineRule="auto"/>
        <w:contextualSpacing w:val="0"/>
        <w:rPr>
          <w:rFonts w:ascii="Calibri" w:hAnsi="Calibr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Voltaire, </w:t>
      </w:r>
      <w:r w:rsidRPr="00C30612">
        <w:rPr>
          <w:rFonts w:ascii="Calibri" w:hAnsi="Calibri"/>
          <w:i/>
          <w:color w:val="auto"/>
          <w:sz w:val="20"/>
          <w:szCs w:val="20"/>
        </w:rPr>
        <w:t>Lettres de Memmius à Ciceron</w:t>
      </w:r>
      <w:r w:rsidRPr="00C30612">
        <w:rPr>
          <w:rFonts w:ascii="Calibri" w:hAnsi="Calibri"/>
          <w:color w:val="auto"/>
          <w:sz w:val="20"/>
          <w:szCs w:val="20"/>
        </w:rPr>
        <w:t xml:space="preserve">, in </w:t>
      </w:r>
      <w:r w:rsidRPr="00C30612">
        <w:rPr>
          <w:rFonts w:ascii="Calibri" w:hAnsi="Calibri"/>
          <w:i/>
          <w:color w:val="auto"/>
          <w:sz w:val="20"/>
          <w:szCs w:val="20"/>
        </w:rPr>
        <w:t>Oeuvres complètes</w:t>
      </w:r>
      <w:r>
        <w:rPr>
          <w:rFonts w:ascii="Calibri" w:hAnsi="Calibri"/>
          <w:color w:val="auto"/>
          <w:sz w:val="20"/>
          <w:szCs w:val="20"/>
        </w:rPr>
        <w:t>, vol. 28</w:t>
      </w:r>
      <w:r w:rsidRPr="00C30612">
        <w:rPr>
          <w:rFonts w:ascii="Calibri" w:hAnsi="Calibri"/>
          <w:color w:val="auto"/>
          <w:sz w:val="20"/>
          <w:szCs w:val="20"/>
        </w:rPr>
        <w:t>, pp. 439-40.</w:t>
      </w:r>
    </w:p>
  </w:footnote>
  <w:footnote w:id="83">
    <w:p w14:paraId="4B5501BB" w14:textId="64C0C7B8" w:rsidR="00F11556" w:rsidRPr="00C30612" w:rsidRDefault="00F11556" w:rsidP="00D73567">
      <w:pPr>
        <w:pStyle w:val="normal0"/>
        <w:spacing w:line="240" w:lineRule="auto"/>
        <w:contextualSpacing w:val="0"/>
        <w:rPr>
          <w:rFonts w:ascii="Calibri" w:hAnsi="Calibr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Hertzberg, </w:t>
      </w:r>
      <w:r w:rsidRPr="00C30612">
        <w:rPr>
          <w:rFonts w:ascii="Calibri" w:hAnsi="Calibri"/>
          <w:i/>
          <w:color w:val="auto"/>
          <w:sz w:val="20"/>
          <w:szCs w:val="20"/>
        </w:rPr>
        <w:t>The French Enlightenment and the Jews</w:t>
      </w:r>
      <w:r w:rsidRPr="00C30612">
        <w:rPr>
          <w:rFonts w:ascii="Calibri" w:hAnsi="Calibri"/>
          <w:color w:val="auto"/>
          <w:sz w:val="20"/>
          <w:szCs w:val="20"/>
        </w:rPr>
        <w:t>, p. 303.</w:t>
      </w:r>
    </w:p>
  </w:footnote>
  <w:footnote w:id="84">
    <w:p w14:paraId="17305248" w14:textId="04B0B43C" w:rsidR="00F11556" w:rsidRPr="00C30612" w:rsidRDefault="00F11556" w:rsidP="00D73567">
      <w:pPr>
        <w:pStyle w:val="normal0"/>
        <w:spacing w:line="240" w:lineRule="auto"/>
        <w:contextualSpacing w:val="0"/>
        <w:rPr>
          <w:rFonts w:ascii="Calibri" w:hAnsi="Calibr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Voltaire, </w:t>
      </w:r>
      <w:r w:rsidRPr="00C30612">
        <w:rPr>
          <w:rFonts w:ascii="Calibri" w:hAnsi="Calibri"/>
          <w:i/>
          <w:color w:val="auto"/>
          <w:sz w:val="20"/>
          <w:szCs w:val="20"/>
        </w:rPr>
        <w:t>Philosophical Dictionary</w:t>
      </w:r>
      <w:r w:rsidRPr="00C30612">
        <w:rPr>
          <w:rFonts w:ascii="Calibri" w:hAnsi="Calibri"/>
          <w:color w:val="auto"/>
          <w:sz w:val="20"/>
          <w:szCs w:val="20"/>
        </w:rPr>
        <w:t>, p. 123.</w:t>
      </w:r>
    </w:p>
  </w:footnote>
  <w:footnote w:id="85">
    <w:p w14:paraId="3A450629" w14:textId="6FE7499A" w:rsidR="00F11556" w:rsidRPr="00C30612" w:rsidRDefault="00F11556" w:rsidP="00D73567">
      <w:pPr>
        <w:pStyle w:val="FootnoteText"/>
        <w:rPr>
          <w:rFonts w:ascii="Calibri" w:hAnsi="Calibri"/>
          <w:sz w:val="20"/>
          <w:szCs w:val="20"/>
        </w:rPr>
      </w:pPr>
      <w:r w:rsidRPr="00C30612">
        <w:rPr>
          <w:rStyle w:val="FootnoteReference"/>
          <w:rFonts w:ascii="Calibri" w:hAnsi="Calibri"/>
          <w:sz w:val="20"/>
          <w:szCs w:val="20"/>
        </w:rPr>
        <w:footnoteRef/>
      </w:r>
      <w:r w:rsidRPr="00C30612">
        <w:rPr>
          <w:rFonts w:ascii="Calibri" w:hAnsi="Calibri"/>
          <w:sz w:val="20"/>
          <w:szCs w:val="20"/>
        </w:rPr>
        <w:t xml:space="preserve"> Consider also his dismissive treatment elsewhere of the </w:t>
      </w:r>
      <w:r>
        <w:rPr>
          <w:rFonts w:ascii="Calibri" w:hAnsi="Calibri"/>
          <w:sz w:val="20"/>
          <w:szCs w:val="20"/>
        </w:rPr>
        <w:t>“</w:t>
      </w:r>
      <w:r w:rsidRPr="00C30612">
        <w:rPr>
          <w:rFonts w:ascii="Calibri" w:hAnsi="Calibri"/>
          <w:sz w:val="20"/>
          <w:szCs w:val="20"/>
        </w:rPr>
        <w:t>criminally proud</w:t>
      </w:r>
      <w:r>
        <w:rPr>
          <w:rFonts w:ascii="Calibri" w:hAnsi="Calibri"/>
          <w:sz w:val="20"/>
          <w:szCs w:val="20"/>
        </w:rPr>
        <w:t>”</w:t>
      </w:r>
      <w:r w:rsidRPr="00C30612">
        <w:rPr>
          <w:rFonts w:ascii="Calibri" w:hAnsi="Calibri"/>
          <w:sz w:val="20"/>
          <w:szCs w:val="20"/>
        </w:rPr>
        <w:t xml:space="preserve"> patricians who </w:t>
      </w:r>
      <w:r>
        <w:rPr>
          <w:rFonts w:ascii="Calibri" w:hAnsi="Calibri"/>
          <w:sz w:val="20"/>
          <w:szCs w:val="20"/>
        </w:rPr>
        <w:t>“</w:t>
      </w:r>
      <w:r w:rsidRPr="00C30612">
        <w:rPr>
          <w:rFonts w:ascii="Calibri" w:hAnsi="Calibri"/>
          <w:sz w:val="20"/>
          <w:szCs w:val="20"/>
        </w:rPr>
        <w:t>considered the plebeians as a wild beast whom it behooved them to let loose upon their neighbors</w:t>
      </w:r>
      <w:r>
        <w:rPr>
          <w:rFonts w:ascii="Calibri" w:hAnsi="Calibri"/>
          <w:sz w:val="20"/>
          <w:szCs w:val="20"/>
        </w:rPr>
        <w:t>.”</w:t>
      </w:r>
      <w:r w:rsidRPr="00C30612">
        <w:rPr>
          <w:rFonts w:ascii="Calibri" w:hAnsi="Calibri"/>
          <w:sz w:val="20"/>
          <w:szCs w:val="20"/>
        </w:rPr>
        <w:t xml:space="preserve"> This is nearly Machiavelli</w:t>
      </w:r>
      <w:r>
        <w:rPr>
          <w:rFonts w:ascii="Calibri" w:hAnsi="Calibri"/>
          <w:sz w:val="20"/>
          <w:szCs w:val="20"/>
        </w:rPr>
        <w:t>’</w:t>
      </w:r>
      <w:r w:rsidRPr="00C30612">
        <w:rPr>
          <w:rFonts w:ascii="Calibri" w:hAnsi="Calibri"/>
          <w:sz w:val="20"/>
          <w:szCs w:val="20"/>
        </w:rPr>
        <w:t xml:space="preserve">s interpretation of Roman history in the </w:t>
      </w:r>
      <w:r w:rsidRPr="00C30612">
        <w:rPr>
          <w:rFonts w:ascii="Calibri" w:hAnsi="Calibri"/>
          <w:i/>
          <w:sz w:val="20"/>
          <w:szCs w:val="20"/>
        </w:rPr>
        <w:t>Discourses</w:t>
      </w:r>
      <w:r w:rsidRPr="00C30612">
        <w:rPr>
          <w:rFonts w:ascii="Calibri" w:hAnsi="Calibri"/>
          <w:sz w:val="20"/>
          <w:szCs w:val="20"/>
        </w:rPr>
        <w:t xml:space="preserve">, only transvalued to read as sordid rather than glorious. Voltaire, </w:t>
      </w:r>
      <w:r w:rsidRPr="00C30612">
        <w:rPr>
          <w:rFonts w:ascii="Calibri" w:hAnsi="Calibri"/>
          <w:i/>
          <w:sz w:val="20"/>
          <w:szCs w:val="20"/>
        </w:rPr>
        <w:t>Letters Concerning the English Nation</w:t>
      </w:r>
      <w:r w:rsidRPr="00C30612">
        <w:rPr>
          <w:rFonts w:ascii="Calibri" w:hAnsi="Calibri"/>
          <w:sz w:val="20"/>
          <w:szCs w:val="20"/>
        </w:rPr>
        <w:t>, ed. Nicolas Cronk (Oxford, 1994), letter 8, pp. 33-4.</w:t>
      </w:r>
    </w:p>
  </w:footnote>
  <w:footnote w:id="86">
    <w:p w14:paraId="38C64E85" w14:textId="21D99CE0" w:rsidR="00F11556" w:rsidRPr="00C30612" w:rsidRDefault="00F11556" w:rsidP="00D73567">
      <w:pPr>
        <w:pStyle w:val="FootnoteText"/>
        <w:rPr>
          <w:rFonts w:ascii="Calibri" w:hAnsi="Calibri"/>
          <w:sz w:val="20"/>
          <w:szCs w:val="20"/>
        </w:rPr>
      </w:pPr>
      <w:r w:rsidRPr="00C30612">
        <w:rPr>
          <w:rStyle w:val="FootnoteReference"/>
          <w:rFonts w:ascii="Calibri" w:hAnsi="Calibri"/>
          <w:sz w:val="20"/>
          <w:szCs w:val="20"/>
        </w:rPr>
        <w:footnoteRef/>
      </w:r>
      <w:r w:rsidRPr="00C30612">
        <w:rPr>
          <w:rFonts w:ascii="Calibri" w:hAnsi="Calibri"/>
          <w:sz w:val="20"/>
          <w:szCs w:val="20"/>
        </w:rPr>
        <w:t xml:space="preserve"> In fact, the record of </w:t>
      </w:r>
      <w:r>
        <w:rPr>
          <w:rFonts w:ascii="Calibri" w:hAnsi="Calibri"/>
          <w:sz w:val="20"/>
          <w:szCs w:val="20"/>
        </w:rPr>
        <w:t>Voltaire’s</w:t>
      </w:r>
      <w:r w:rsidRPr="00C30612">
        <w:rPr>
          <w:rFonts w:ascii="Calibri" w:hAnsi="Calibri"/>
          <w:sz w:val="20"/>
          <w:szCs w:val="20"/>
        </w:rPr>
        <w:t xml:space="preserve"> contemporaries and near-contemporaries who attempted such a complete endorsement bolsters this point. Early in the century, Bernard Mandeville</w:t>
      </w:r>
      <w:r>
        <w:rPr>
          <w:rFonts w:ascii="Calibri" w:hAnsi="Calibri"/>
          <w:sz w:val="20"/>
          <w:szCs w:val="20"/>
        </w:rPr>
        <w:t>’</w:t>
      </w:r>
      <w:r w:rsidRPr="00C30612">
        <w:rPr>
          <w:rFonts w:ascii="Calibri" w:hAnsi="Calibri"/>
          <w:sz w:val="20"/>
          <w:szCs w:val="20"/>
        </w:rPr>
        <w:t xml:space="preserve">s </w:t>
      </w:r>
      <w:r w:rsidRPr="00C30612">
        <w:rPr>
          <w:rFonts w:ascii="Calibri" w:hAnsi="Calibri"/>
          <w:i/>
          <w:sz w:val="20"/>
          <w:szCs w:val="20"/>
        </w:rPr>
        <w:t>Fable of the Bees</w:t>
      </w:r>
      <w:r w:rsidRPr="00C30612">
        <w:rPr>
          <w:rFonts w:ascii="Calibri" w:hAnsi="Calibri"/>
          <w:sz w:val="20"/>
          <w:szCs w:val="20"/>
        </w:rPr>
        <w:t xml:space="preserve"> was greeted as a scandal and </w:t>
      </w:r>
      <w:r>
        <w:rPr>
          <w:rFonts w:ascii="Calibri" w:hAnsi="Calibri"/>
          <w:sz w:val="20"/>
          <w:szCs w:val="20"/>
        </w:rPr>
        <w:t>“</w:t>
      </w:r>
      <w:r w:rsidRPr="00C30612">
        <w:rPr>
          <w:rFonts w:ascii="Calibri" w:hAnsi="Calibri"/>
          <w:sz w:val="20"/>
          <w:szCs w:val="20"/>
        </w:rPr>
        <w:t>was not widely accepted</w:t>
      </w:r>
      <w:r>
        <w:rPr>
          <w:rFonts w:ascii="Calibri" w:hAnsi="Calibri"/>
          <w:sz w:val="20"/>
          <w:szCs w:val="20"/>
        </w:rPr>
        <w:t>.”</w:t>
      </w:r>
      <w:r w:rsidRPr="00C30612">
        <w:rPr>
          <w:rFonts w:ascii="Calibri" w:hAnsi="Calibri"/>
          <w:sz w:val="20"/>
          <w:szCs w:val="20"/>
        </w:rPr>
        <w:t xml:space="preserve"> Four decades later, Jaucourt</w:t>
      </w:r>
      <w:r>
        <w:rPr>
          <w:rFonts w:ascii="Calibri" w:hAnsi="Calibri"/>
          <w:sz w:val="20"/>
          <w:szCs w:val="20"/>
        </w:rPr>
        <w:t>’</w:t>
      </w:r>
      <w:r w:rsidRPr="00C30612">
        <w:rPr>
          <w:rFonts w:ascii="Calibri" w:hAnsi="Calibri"/>
          <w:sz w:val="20"/>
          <w:szCs w:val="20"/>
        </w:rPr>
        <w:t xml:space="preserve">s philo-Semitic writing on commerce failed even to persuade many of his fellow </w:t>
      </w:r>
      <w:r w:rsidRPr="00C30612">
        <w:rPr>
          <w:rFonts w:ascii="Calibri" w:hAnsi="Calibri"/>
          <w:i/>
          <w:sz w:val="20"/>
          <w:szCs w:val="20"/>
        </w:rPr>
        <w:t>encyclopédistes</w:t>
      </w:r>
      <w:r w:rsidRPr="00C30612">
        <w:rPr>
          <w:rFonts w:ascii="Calibri" w:hAnsi="Calibri"/>
          <w:sz w:val="20"/>
          <w:szCs w:val="20"/>
        </w:rPr>
        <w:t xml:space="preserve">, as seen in the recurrence of entries that pit the idealized pastoral Jew of the Bible against the degraded Jew and degrading commerce of the present. And mid-century also saw the retreat of full-throated defenses of </w:t>
      </w:r>
      <w:r w:rsidRPr="00C30612">
        <w:rPr>
          <w:rFonts w:ascii="Calibri" w:hAnsi="Calibri"/>
          <w:i/>
          <w:sz w:val="20"/>
          <w:szCs w:val="20"/>
        </w:rPr>
        <w:t>luxe</w:t>
      </w:r>
      <w:r w:rsidRPr="00C30612">
        <w:rPr>
          <w:rFonts w:ascii="Calibri" w:hAnsi="Calibri"/>
          <w:sz w:val="20"/>
          <w:szCs w:val="20"/>
        </w:rPr>
        <w:t xml:space="preserve"> in the face of Rousseauian and republican critiques. In fact, some of the most influential French political economists of mid-century, the </w:t>
      </w:r>
      <w:r>
        <w:rPr>
          <w:rFonts w:ascii="Calibri" w:hAnsi="Calibri"/>
          <w:sz w:val="20"/>
          <w:szCs w:val="20"/>
        </w:rPr>
        <w:t>“</w:t>
      </w:r>
      <w:r w:rsidRPr="00C30612">
        <w:rPr>
          <w:rFonts w:ascii="Calibri" w:hAnsi="Calibri"/>
          <w:sz w:val="20"/>
          <w:szCs w:val="20"/>
        </w:rPr>
        <w:t>Gournay Circle</w:t>
      </w:r>
      <w:r>
        <w:rPr>
          <w:rFonts w:ascii="Calibri" w:hAnsi="Calibri"/>
          <w:sz w:val="20"/>
          <w:szCs w:val="20"/>
        </w:rPr>
        <w:t>,”</w:t>
      </w:r>
      <w:r w:rsidRPr="00C30612">
        <w:rPr>
          <w:rFonts w:ascii="Calibri" w:hAnsi="Calibri"/>
          <w:sz w:val="20"/>
          <w:szCs w:val="20"/>
        </w:rPr>
        <w:t xml:space="preserve"> responded to these critiques by moderating their defense of commerce, distinguishing between healthy and pernicious luxury. Voltaire, as we have seen, responded in a different manner entirely. See Shovlin, </w:t>
      </w:r>
      <w:r w:rsidRPr="00C30612">
        <w:rPr>
          <w:rFonts w:ascii="Calibri" w:hAnsi="Calibri"/>
          <w:i/>
          <w:sz w:val="20"/>
          <w:szCs w:val="20"/>
        </w:rPr>
        <w:t>The Political Economy of Virtue</w:t>
      </w:r>
      <w:r w:rsidRPr="00C30612">
        <w:rPr>
          <w:rFonts w:ascii="Calibri" w:hAnsi="Calibri"/>
          <w:sz w:val="20"/>
          <w:szCs w:val="20"/>
        </w:rPr>
        <w:t>, pp. 24-6, 44-8.</w:t>
      </w:r>
    </w:p>
  </w:footnote>
  <w:footnote w:id="87">
    <w:p w14:paraId="0B5905AA" w14:textId="62BE7E09" w:rsidR="00F11556" w:rsidRPr="00C30612" w:rsidRDefault="00F11556" w:rsidP="00D73567">
      <w:pPr>
        <w:pStyle w:val="normal0"/>
        <w:spacing w:line="240" w:lineRule="auto"/>
        <w:contextualSpacing w:val="0"/>
        <w:rPr>
          <w:rFonts w:ascii="Calibri" w:hAnsi="Calibr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Antoine Guénée, </w:t>
      </w:r>
      <w:r w:rsidRPr="00C30612">
        <w:rPr>
          <w:rFonts w:ascii="Calibri" w:hAnsi="Calibri"/>
          <w:i/>
          <w:color w:val="auto"/>
          <w:sz w:val="20"/>
          <w:szCs w:val="20"/>
        </w:rPr>
        <w:t>Lettres de quelques Juifs portugais et allemands à M. de Voltaire</w:t>
      </w:r>
      <w:r w:rsidRPr="00C30612">
        <w:rPr>
          <w:rFonts w:ascii="Calibri" w:hAnsi="Calibri"/>
          <w:color w:val="auto"/>
          <w:sz w:val="20"/>
          <w:szCs w:val="20"/>
        </w:rPr>
        <w:t>, 2nd ed. (Paris, 1769), pp. 302-3</w:t>
      </w:r>
      <w:r>
        <w:rPr>
          <w:rFonts w:ascii="Calibri" w:hAnsi="Calibri"/>
          <w:color w:val="auto"/>
          <w:sz w:val="20"/>
          <w:szCs w:val="20"/>
        </w:rPr>
        <w:t>.</w:t>
      </w:r>
    </w:p>
  </w:footnote>
  <w:footnote w:id="88">
    <w:p w14:paraId="2D8BE862" w14:textId="10CFC56A" w:rsidR="00F11556" w:rsidRPr="00C30612" w:rsidRDefault="00F11556" w:rsidP="00D73567">
      <w:pPr>
        <w:pStyle w:val="FootnoteText"/>
        <w:rPr>
          <w:rFonts w:ascii="Calibri" w:hAnsi="Calibri"/>
          <w:sz w:val="20"/>
          <w:szCs w:val="20"/>
        </w:rPr>
      </w:pPr>
      <w:r w:rsidRPr="00C30612">
        <w:rPr>
          <w:rStyle w:val="FootnoteReference"/>
          <w:rFonts w:ascii="Calibri" w:hAnsi="Calibri"/>
          <w:sz w:val="20"/>
          <w:szCs w:val="20"/>
        </w:rPr>
        <w:footnoteRef/>
      </w:r>
      <w:r w:rsidRPr="00C30612">
        <w:rPr>
          <w:rFonts w:ascii="Calibri" w:hAnsi="Calibri"/>
          <w:sz w:val="20"/>
          <w:szCs w:val="20"/>
        </w:rPr>
        <w:t xml:space="preserve"> Trivellato, </w:t>
      </w:r>
      <w:r>
        <w:rPr>
          <w:rFonts w:ascii="Calibri" w:hAnsi="Calibri"/>
          <w:sz w:val="20"/>
          <w:szCs w:val="20"/>
        </w:rPr>
        <w:t>“</w:t>
      </w:r>
      <w:r w:rsidRPr="00C30612">
        <w:rPr>
          <w:rFonts w:ascii="Calibri" w:hAnsi="Calibri"/>
          <w:sz w:val="20"/>
          <w:szCs w:val="20"/>
        </w:rPr>
        <w:t>Credit, Honor</w:t>
      </w:r>
      <w:r>
        <w:rPr>
          <w:rFonts w:ascii="Calibri" w:hAnsi="Calibri"/>
          <w:sz w:val="20"/>
          <w:szCs w:val="20"/>
        </w:rPr>
        <w:t>,”</w:t>
      </w:r>
      <w:r w:rsidRPr="00C30612">
        <w:rPr>
          <w:rFonts w:ascii="Calibri" w:hAnsi="Calibri"/>
          <w:sz w:val="20"/>
          <w:szCs w:val="20"/>
        </w:rPr>
        <w:t xml:space="preserve"> p. 323.</w:t>
      </w:r>
    </w:p>
  </w:footnote>
  <w:footnote w:id="89">
    <w:p w14:paraId="713B0952" w14:textId="46AF92EC" w:rsidR="00F11556" w:rsidRPr="00C30612" w:rsidRDefault="00F11556" w:rsidP="00D73567">
      <w:pPr>
        <w:pStyle w:val="normal0"/>
        <w:spacing w:line="240" w:lineRule="auto"/>
        <w:contextualSpacing w:val="0"/>
        <w:rPr>
          <w:rFonts w:ascii="Calibri" w:hAnsi="Calibr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Montesquieu, </w:t>
      </w:r>
      <w:r w:rsidRPr="00C30612">
        <w:rPr>
          <w:rFonts w:ascii="Calibri" w:hAnsi="Calibri"/>
          <w:i/>
          <w:color w:val="auto"/>
          <w:sz w:val="20"/>
          <w:szCs w:val="20"/>
        </w:rPr>
        <w:t>The Spirit of the Laws</w:t>
      </w:r>
      <w:r w:rsidRPr="00C30612">
        <w:rPr>
          <w:rFonts w:ascii="Calibri" w:hAnsi="Calibri"/>
          <w:color w:val="auto"/>
          <w:sz w:val="20"/>
          <w:szCs w:val="20"/>
        </w:rPr>
        <w:t xml:space="preserve">, pp. 388-9. On the stress Montesquieu placed on </w:t>
      </w:r>
      <w:r>
        <w:rPr>
          <w:rFonts w:ascii="Calibri" w:hAnsi="Calibri"/>
          <w:color w:val="auto"/>
          <w:sz w:val="20"/>
          <w:szCs w:val="20"/>
        </w:rPr>
        <w:t>“</w:t>
      </w:r>
      <w:r w:rsidRPr="00C30612">
        <w:rPr>
          <w:rFonts w:ascii="Calibri" w:hAnsi="Calibri"/>
          <w:color w:val="auto"/>
          <w:sz w:val="20"/>
          <w:szCs w:val="20"/>
        </w:rPr>
        <w:t>mobile wealth</w:t>
      </w:r>
      <w:r>
        <w:rPr>
          <w:rFonts w:ascii="Calibri" w:hAnsi="Calibri"/>
          <w:color w:val="auto"/>
          <w:sz w:val="20"/>
          <w:szCs w:val="20"/>
        </w:rPr>
        <w:t>,”</w:t>
      </w:r>
      <w:r w:rsidRPr="00C30612">
        <w:rPr>
          <w:rFonts w:ascii="Calibri" w:hAnsi="Calibri"/>
          <w:color w:val="auto"/>
          <w:sz w:val="20"/>
          <w:szCs w:val="20"/>
        </w:rPr>
        <w:t xml:space="preserve"> see Cheney, </w:t>
      </w:r>
      <w:r w:rsidRPr="00C30612">
        <w:rPr>
          <w:rFonts w:ascii="Calibri" w:hAnsi="Calibri"/>
          <w:i/>
          <w:color w:val="auto"/>
          <w:sz w:val="20"/>
          <w:szCs w:val="20"/>
        </w:rPr>
        <w:t>Revolutionary Commerce</w:t>
      </w:r>
      <w:r w:rsidRPr="00C30612">
        <w:rPr>
          <w:rFonts w:ascii="Calibri" w:hAnsi="Calibri"/>
          <w:color w:val="auto"/>
          <w:sz w:val="20"/>
          <w:szCs w:val="20"/>
        </w:rPr>
        <w:t>, pp. 59-61.</w:t>
      </w:r>
    </w:p>
  </w:footnote>
  <w:footnote w:id="90">
    <w:p w14:paraId="00E18255" w14:textId="0EFEE47E" w:rsidR="00F11556" w:rsidRPr="00C30612" w:rsidRDefault="00F11556" w:rsidP="00D73567">
      <w:pPr>
        <w:pStyle w:val="normal0"/>
        <w:spacing w:line="240" w:lineRule="auto"/>
        <w:contextualSpacing w:val="0"/>
        <w:rPr>
          <w:rFonts w:ascii="Calibri" w:hAnsi="Calibr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Ibid., pp. 616, 416-7.</w:t>
      </w:r>
    </w:p>
  </w:footnote>
  <w:footnote w:id="91">
    <w:p w14:paraId="6651ADF3" w14:textId="6390638E" w:rsidR="00F11556" w:rsidRPr="00C30612" w:rsidRDefault="00F11556" w:rsidP="00D73567">
      <w:pPr>
        <w:pStyle w:val="normal0"/>
        <w:spacing w:line="240" w:lineRule="auto"/>
        <w:contextualSpacing w:val="0"/>
        <w:rPr>
          <w:rFonts w:ascii="Calibri" w:hAnsi="Calibr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Ibid., p. 156.</w:t>
      </w:r>
    </w:p>
  </w:footnote>
  <w:footnote w:id="92">
    <w:p w14:paraId="668B3086" w14:textId="354817C0" w:rsidR="00F11556" w:rsidRPr="00C30612" w:rsidRDefault="00F11556" w:rsidP="00D73567">
      <w:pPr>
        <w:pStyle w:val="normal0"/>
        <w:spacing w:line="240" w:lineRule="auto"/>
        <w:contextualSpacing w:val="0"/>
        <w:rPr>
          <w:rFonts w:ascii="Calibri" w:hAnsi="Calibr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Ibid., p. 240.</w:t>
      </w:r>
    </w:p>
  </w:footnote>
  <w:footnote w:id="93">
    <w:p w14:paraId="04D1638B" w14:textId="29C4006F" w:rsidR="00F11556" w:rsidRPr="00C30612" w:rsidRDefault="00F11556" w:rsidP="00D73567">
      <w:pPr>
        <w:pStyle w:val="normal0"/>
        <w:spacing w:line="240" w:lineRule="auto"/>
        <w:contextualSpacing w:val="0"/>
        <w:rPr>
          <w:rFonts w:ascii="Calibri" w:hAnsi="Calibr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Ibid., p. 492.</w:t>
      </w:r>
    </w:p>
  </w:footnote>
  <w:footnote w:id="94">
    <w:p w14:paraId="6FE47D52" w14:textId="330F5812" w:rsidR="00F11556" w:rsidRPr="00C30612" w:rsidRDefault="00F11556" w:rsidP="00D73567">
      <w:pPr>
        <w:pStyle w:val="normal0"/>
        <w:spacing w:line="240" w:lineRule="auto"/>
        <w:contextualSpacing w:val="0"/>
        <w:rPr>
          <w:rFonts w:ascii="Calibri" w:hAnsi="Calibr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Ages, </w:t>
      </w:r>
      <w:r>
        <w:rPr>
          <w:rFonts w:ascii="Calibri" w:hAnsi="Calibri"/>
          <w:color w:val="auto"/>
          <w:sz w:val="20"/>
          <w:szCs w:val="20"/>
        </w:rPr>
        <w:t>“</w:t>
      </w:r>
      <w:r w:rsidRPr="00C30612">
        <w:rPr>
          <w:rFonts w:ascii="Calibri" w:hAnsi="Calibri"/>
          <w:color w:val="auto"/>
          <w:sz w:val="20"/>
          <w:szCs w:val="20"/>
        </w:rPr>
        <w:t>Montesquieu and the Jews</w:t>
      </w:r>
      <w:r>
        <w:rPr>
          <w:rFonts w:ascii="Calibri" w:hAnsi="Calibri"/>
          <w:color w:val="auto"/>
          <w:sz w:val="20"/>
          <w:szCs w:val="20"/>
        </w:rPr>
        <w:t>,”</w:t>
      </w:r>
      <w:r w:rsidRPr="00C30612">
        <w:rPr>
          <w:rFonts w:ascii="Calibri" w:hAnsi="Calibri"/>
          <w:color w:val="auto"/>
          <w:sz w:val="20"/>
          <w:szCs w:val="20"/>
        </w:rPr>
        <w:t xml:space="preserve"> </w:t>
      </w:r>
      <w:r w:rsidRPr="00C30612">
        <w:rPr>
          <w:rFonts w:ascii="Calibri" w:hAnsi="Calibri"/>
          <w:i/>
          <w:color w:val="auto"/>
          <w:sz w:val="20"/>
          <w:szCs w:val="20"/>
        </w:rPr>
        <w:t>Romanische Forshungen</w:t>
      </w:r>
      <w:r w:rsidRPr="00C30612">
        <w:rPr>
          <w:rFonts w:ascii="Calibri" w:hAnsi="Calibri"/>
          <w:color w:val="auto"/>
          <w:sz w:val="20"/>
          <w:szCs w:val="20"/>
        </w:rPr>
        <w:t xml:space="preserve"> 81 (H. 1/2) (1969), pp. 214-9, p. 219.</w:t>
      </w:r>
    </w:p>
  </w:footnote>
  <w:footnote w:id="95">
    <w:p w14:paraId="2BA8AAFA" w14:textId="20639879" w:rsidR="00F11556" w:rsidRPr="00C30612" w:rsidRDefault="00F11556" w:rsidP="00D73567">
      <w:pPr>
        <w:pStyle w:val="normal0"/>
        <w:spacing w:line="240" w:lineRule="auto"/>
        <w:contextualSpacing w:val="0"/>
        <w:rPr>
          <w:rFonts w:ascii="Calibri" w:hAnsi="Calibr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Montesquieu shared, to a certain extent, </w:t>
      </w:r>
      <w:r>
        <w:rPr>
          <w:rFonts w:ascii="Calibri" w:hAnsi="Calibri"/>
          <w:color w:val="auto"/>
          <w:sz w:val="20"/>
          <w:szCs w:val="20"/>
        </w:rPr>
        <w:t>Voltaire’s</w:t>
      </w:r>
      <w:r w:rsidRPr="00C30612">
        <w:rPr>
          <w:rFonts w:ascii="Calibri" w:hAnsi="Calibri"/>
          <w:color w:val="auto"/>
          <w:sz w:val="20"/>
          <w:szCs w:val="20"/>
        </w:rPr>
        <w:t xml:space="preserve"> identification of the Jews as the people of commerce. Jews appear most often in a commercial capacity in </w:t>
      </w:r>
      <w:r w:rsidRPr="00C30612">
        <w:rPr>
          <w:rFonts w:ascii="Calibri" w:hAnsi="Calibri"/>
          <w:i/>
          <w:color w:val="auto"/>
          <w:sz w:val="20"/>
          <w:szCs w:val="20"/>
        </w:rPr>
        <w:t>The Spirit of the Laws</w:t>
      </w:r>
      <w:r w:rsidRPr="00C30612">
        <w:rPr>
          <w:rFonts w:ascii="Calibri" w:hAnsi="Calibri"/>
          <w:color w:val="auto"/>
          <w:sz w:val="20"/>
          <w:szCs w:val="20"/>
        </w:rPr>
        <w:t xml:space="preserve">, and in the </w:t>
      </w:r>
      <w:r w:rsidRPr="00C30612">
        <w:rPr>
          <w:rFonts w:ascii="Calibri" w:hAnsi="Calibri"/>
          <w:i/>
          <w:color w:val="auto"/>
          <w:sz w:val="20"/>
          <w:szCs w:val="20"/>
        </w:rPr>
        <w:t>Persian Letters</w:t>
      </w:r>
      <w:r w:rsidRPr="00C30612">
        <w:rPr>
          <w:rFonts w:ascii="Calibri" w:hAnsi="Calibri"/>
          <w:color w:val="auto"/>
          <w:sz w:val="20"/>
          <w:szCs w:val="20"/>
        </w:rPr>
        <w:t xml:space="preserve">, he claimed that </w:t>
      </w:r>
      <w:r>
        <w:rPr>
          <w:rFonts w:ascii="Calibri" w:hAnsi="Calibri"/>
          <w:color w:val="auto"/>
          <w:sz w:val="20"/>
          <w:szCs w:val="20"/>
        </w:rPr>
        <w:t>“</w:t>
      </w:r>
      <w:r w:rsidRPr="00C30612">
        <w:rPr>
          <w:rFonts w:ascii="Calibri" w:hAnsi="Calibri"/>
          <w:color w:val="auto"/>
          <w:sz w:val="20"/>
          <w:szCs w:val="20"/>
        </w:rPr>
        <w:t>wherever there is money, there are Jews</w:t>
      </w:r>
      <w:r>
        <w:rPr>
          <w:rFonts w:ascii="Calibri" w:hAnsi="Calibri"/>
          <w:color w:val="auto"/>
          <w:sz w:val="20"/>
          <w:szCs w:val="20"/>
        </w:rPr>
        <w:t>.”</w:t>
      </w:r>
      <w:r w:rsidRPr="00C30612">
        <w:rPr>
          <w:rFonts w:ascii="Calibri" w:hAnsi="Calibri"/>
          <w:color w:val="auto"/>
          <w:sz w:val="20"/>
          <w:szCs w:val="20"/>
        </w:rPr>
        <w:t xml:space="preserve"> While this latter statement does carry some connotations of Jewish greed, it is also offered without further comment and in a more neutral light than any of </w:t>
      </w:r>
      <w:r>
        <w:rPr>
          <w:rFonts w:ascii="Calibri" w:hAnsi="Calibri"/>
          <w:color w:val="auto"/>
          <w:sz w:val="20"/>
          <w:szCs w:val="20"/>
        </w:rPr>
        <w:t>Voltaire’s</w:t>
      </w:r>
      <w:r w:rsidRPr="00C30612">
        <w:rPr>
          <w:rFonts w:ascii="Calibri" w:hAnsi="Calibri"/>
          <w:color w:val="auto"/>
          <w:sz w:val="20"/>
          <w:szCs w:val="20"/>
        </w:rPr>
        <w:t xml:space="preserve"> statements on the same subject. The implication seems to be that Jews play an outsized role in finance, not (as Voltaire would have it) that they are uniquely money-grubbing. Montesquieu, </w:t>
      </w:r>
      <w:r w:rsidRPr="00C30612">
        <w:rPr>
          <w:rFonts w:ascii="Calibri" w:hAnsi="Calibri"/>
          <w:i/>
          <w:color w:val="auto"/>
          <w:sz w:val="20"/>
          <w:szCs w:val="20"/>
        </w:rPr>
        <w:t>Persian Letters</w:t>
      </w:r>
      <w:r w:rsidRPr="00C30612">
        <w:rPr>
          <w:rFonts w:ascii="Calibri" w:hAnsi="Calibri"/>
          <w:color w:val="auto"/>
          <w:sz w:val="20"/>
          <w:szCs w:val="20"/>
        </w:rPr>
        <w:t xml:space="preserve"> in </w:t>
      </w:r>
      <w:r w:rsidRPr="00C30612">
        <w:rPr>
          <w:rFonts w:ascii="Calibri" w:hAnsi="Calibri"/>
          <w:i/>
          <w:color w:val="auto"/>
          <w:sz w:val="20"/>
          <w:szCs w:val="20"/>
        </w:rPr>
        <w:t>The Complete Works of M. de Montesquieu</w:t>
      </w:r>
      <w:r w:rsidRPr="00C30612">
        <w:rPr>
          <w:rFonts w:ascii="Calibri" w:hAnsi="Calibri"/>
          <w:color w:val="auto"/>
          <w:sz w:val="20"/>
          <w:szCs w:val="20"/>
        </w:rPr>
        <w:t>, vol. 3 (London, 1777), Letter LX.</w:t>
      </w:r>
    </w:p>
  </w:footnote>
  <w:footnote w:id="96">
    <w:p w14:paraId="00B3F9CA" w14:textId="627C885D" w:rsidR="00F11556" w:rsidRPr="00C30612" w:rsidRDefault="00F11556" w:rsidP="00D73567">
      <w:pPr>
        <w:pStyle w:val="normal0"/>
        <w:spacing w:line="240" w:lineRule="auto"/>
        <w:contextualSpacing w:val="0"/>
        <w:rPr>
          <w:rFonts w:ascii="Calibri" w:hAnsi="Calibr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Anoush Fraser Terjanian, </w:t>
      </w:r>
      <w:r w:rsidRPr="00C30612">
        <w:rPr>
          <w:rFonts w:ascii="Calibri" w:hAnsi="Calibri"/>
          <w:i/>
          <w:color w:val="auto"/>
          <w:sz w:val="20"/>
          <w:szCs w:val="20"/>
        </w:rPr>
        <w:t>Commerce and Its Discontents in Eighteenth-Century French Political Thought</w:t>
      </w:r>
      <w:r w:rsidRPr="00C30612">
        <w:rPr>
          <w:rFonts w:ascii="Calibri" w:hAnsi="Calibri"/>
          <w:color w:val="auto"/>
          <w:sz w:val="20"/>
          <w:szCs w:val="20"/>
        </w:rPr>
        <w:t xml:space="preserve"> (Cambridge, 2013), p. 15.</w:t>
      </w:r>
    </w:p>
  </w:footnote>
  <w:footnote w:id="97">
    <w:p w14:paraId="2598A92B" w14:textId="2C9C3980" w:rsidR="00F11556" w:rsidRPr="00C30612" w:rsidRDefault="00F11556" w:rsidP="00D73567">
      <w:pPr>
        <w:pStyle w:val="FootnoteText"/>
        <w:rPr>
          <w:rFonts w:ascii="Calibri" w:hAnsi="Calibri"/>
          <w:sz w:val="20"/>
          <w:szCs w:val="20"/>
        </w:rPr>
      </w:pPr>
      <w:r w:rsidRPr="00C30612">
        <w:rPr>
          <w:rStyle w:val="FootnoteReference"/>
          <w:rFonts w:ascii="Calibri" w:hAnsi="Calibri"/>
          <w:sz w:val="20"/>
          <w:szCs w:val="20"/>
        </w:rPr>
        <w:footnoteRef/>
      </w:r>
      <w:r w:rsidRPr="00C30612">
        <w:rPr>
          <w:rFonts w:ascii="Calibri" w:hAnsi="Calibri"/>
          <w:sz w:val="20"/>
          <w:szCs w:val="20"/>
        </w:rPr>
        <w:t xml:space="preserve"> Michael Sonenscher, </w:t>
      </w:r>
      <w:r w:rsidRPr="00C30612">
        <w:rPr>
          <w:rFonts w:ascii="Calibri" w:hAnsi="Calibri"/>
          <w:i/>
          <w:sz w:val="20"/>
          <w:szCs w:val="20"/>
        </w:rPr>
        <w:t>Before the Deluge: Public Debt, Inequality, and the Intellectual Origins of the French Revolution</w:t>
      </w:r>
      <w:r w:rsidRPr="00C30612">
        <w:rPr>
          <w:rFonts w:ascii="Calibri" w:hAnsi="Calibri"/>
          <w:sz w:val="20"/>
          <w:szCs w:val="20"/>
        </w:rPr>
        <w:t xml:space="preserve"> (Princeton, 2007), p. 99.</w:t>
      </w:r>
    </w:p>
  </w:footnote>
  <w:footnote w:id="98">
    <w:p w14:paraId="13825A01" w14:textId="0F2B4064" w:rsidR="00F11556" w:rsidRPr="00C30612" w:rsidRDefault="00F11556" w:rsidP="00D73567">
      <w:pPr>
        <w:pStyle w:val="normal0"/>
        <w:spacing w:line="240" w:lineRule="auto"/>
        <w:contextualSpacing w:val="0"/>
        <w:rPr>
          <w:rFonts w:ascii="Calibri" w:hAnsi="Calibr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Sharon R. Krause, </w:t>
      </w:r>
      <w:r>
        <w:rPr>
          <w:rFonts w:ascii="Calibri" w:hAnsi="Calibri"/>
          <w:color w:val="auto"/>
          <w:sz w:val="20"/>
          <w:szCs w:val="20"/>
        </w:rPr>
        <w:t>“</w:t>
      </w:r>
      <w:r w:rsidRPr="00C30612">
        <w:rPr>
          <w:rFonts w:ascii="Calibri" w:hAnsi="Calibri"/>
          <w:color w:val="auto"/>
          <w:sz w:val="20"/>
          <w:szCs w:val="20"/>
        </w:rPr>
        <w:t>The Uncertain Inevitability of Decline in Montesquieu</w:t>
      </w:r>
      <w:r>
        <w:rPr>
          <w:rFonts w:ascii="Calibri" w:hAnsi="Calibri"/>
          <w:color w:val="auto"/>
          <w:sz w:val="20"/>
          <w:szCs w:val="20"/>
        </w:rPr>
        <w:t>,”</w:t>
      </w:r>
      <w:r w:rsidRPr="00C30612">
        <w:rPr>
          <w:rFonts w:ascii="Calibri" w:hAnsi="Calibri"/>
          <w:color w:val="auto"/>
          <w:sz w:val="20"/>
          <w:szCs w:val="20"/>
        </w:rPr>
        <w:t xml:space="preserve"> </w:t>
      </w:r>
      <w:r w:rsidRPr="00C30612">
        <w:rPr>
          <w:rFonts w:ascii="Calibri" w:hAnsi="Calibri"/>
          <w:i/>
          <w:color w:val="auto"/>
          <w:sz w:val="20"/>
          <w:szCs w:val="20"/>
        </w:rPr>
        <w:t xml:space="preserve">Political Theory </w:t>
      </w:r>
      <w:r w:rsidRPr="00C30612">
        <w:rPr>
          <w:rFonts w:ascii="Calibri" w:hAnsi="Calibri"/>
          <w:color w:val="auto"/>
          <w:sz w:val="20"/>
          <w:szCs w:val="20"/>
        </w:rPr>
        <w:t xml:space="preserve">30 (5) (2002), pp. 702-27, p. 709. Merle L. Perkins adds that Montesquieu stood out among his contemporaries in seeing </w:t>
      </w:r>
      <w:r>
        <w:rPr>
          <w:rFonts w:ascii="Calibri" w:hAnsi="Calibri"/>
          <w:color w:val="auto"/>
          <w:sz w:val="20"/>
          <w:szCs w:val="20"/>
        </w:rPr>
        <w:t>“</w:t>
      </w:r>
      <w:r w:rsidRPr="00C30612">
        <w:rPr>
          <w:rFonts w:ascii="Calibri" w:hAnsi="Calibri"/>
          <w:color w:val="auto"/>
          <w:sz w:val="20"/>
          <w:szCs w:val="20"/>
        </w:rPr>
        <w:t>the multiple effects of international exchange, including the wealth it engenders, the poverty it generates, the power, exploitation, suffering, and glory implicit in the unlimited drive of man</w:t>
      </w:r>
      <w:r>
        <w:rPr>
          <w:rFonts w:ascii="Calibri" w:hAnsi="Calibri"/>
          <w:color w:val="auto"/>
          <w:sz w:val="20"/>
          <w:szCs w:val="20"/>
        </w:rPr>
        <w:t>”</w:t>
      </w:r>
      <w:r w:rsidRPr="00C30612">
        <w:rPr>
          <w:rFonts w:ascii="Calibri" w:hAnsi="Calibri"/>
          <w:color w:val="auto"/>
          <w:sz w:val="20"/>
          <w:szCs w:val="20"/>
        </w:rPr>
        <w:t>s passion for goods, knowledge, and power</w:t>
      </w:r>
      <w:r>
        <w:rPr>
          <w:rFonts w:ascii="Calibri" w:hAnsi="Calibri"/>
          <w:color w:val="auto"/>
          <w:sz w:val="20"/>
          <w:szCs w:val="20"/>
        </w:rPr>
        <w:t>”</w:t>
      </w:r>
      <w:r w:rsidRPr="00C30612">
        <w:rPr>
          <w:rFonts w:ascii="Calibri" w:hAnsi="Calibri"/>
          <w:color w:val="auto"/>
          <w:sz w:val="20"/>
          <w:szCs w:val="20"/>
        </w:rPr>
        <w:t xml:space="preserve">; Perkins, </w:t>
      </w:r>
      <w:r>
        <w:rPr>
          <w:rFonts w:ascii="Calibri" w:hAnsi="Calibri"/>
          <w:color w:val="auto"/>
          <w:sz w:val="20"/>
          <w:szCs w:val="20"/>
        </w:rPr>
        <w:t>“</w:t>
      </w:r>
      <w:r w:rsidRPr="00C30612">
        <w:rPr>
          <w:rFonts w:ascii="Calibri" w:hAnsi="Calibri"/>
          <w:color w:val="auto"/>
          <w:sz w:val="20"/>
          <w:szCs w:val="20"/>
        </w:rPr>
        <w:t>Montesquieu on National Power and International Rivalry</w:t>
      </w:r>
      <w:r>
        <w:rPr>
          <w:rFonts w:ascii="Calibri" w:hAnsi="Calibri"/>
          <w:color w:val="auto"/>
          <w:sz w:val="20"/>
          <w:szCs w:val="20"/>
        </w:rPr>
        <w:t>,”</w:t>
      </w:r>
      <w:r w:rsidRPr="00C30612">
        <w:rPr>
          <w:rFonts w:ascii="Calibri" w:hAnsi="Calibri"/>
          <w:color w:val="auto"/>
          <w:sz w:val="20"/>
          <w:szCs w:val="20"/>
        </w:rPr>
        <w:t xml:space="preserve"> </w:t>
      </w:r>
      <w:r w:rsidRPr="00C30612">
        <w:rPr>
          <w:rFonts w:ascii="Calibri" w:hAnsi="Calibri"/>
          <w:i/>
          <w:color w:val="auto"/>
          <w:sz w:val="20"/>
          <w:szCs w:val="20"/>
        </w:rPr>
        <w:t>Studies on Voltaire and the Eighteenth Century</w:t>
      </w:r>
      <w:r w:rsidRPr="00C30612">
        <w:rPr>
          <w:rFonts w:ascii="Calibri" w:hAnsi="Calibri"/>
          <w:color w:val="auto"/>
          <w:sz w:val="20"/>
          <w:szCs w:val="20"/>
        </w:rPr>
        <w:t xml:space="preserve"> 238 (1985), pp. 1-95, p. 53. For another account of </w:t>
      </w:r>
      <w:r>
        <w:rPr>
          <w:rFonts w:ascii="Calibri" w:hAnsi="Calibri"/>
          <w:color w:val="auto"/>
          <w:sz w:val="20"/>
          <w:szCs w:val="20"/>
        </w:rPr>
        <w:t>Montesquieu’s ambivalence—in this case, between the social spheres of “</w:t>
      </w:r>
      <w:r w:rsidRPr="00C30612">
        <w:rPr>
          <w:rFonts w:ascii="Calibri" w:hAnsi="Calibri"/>
          <w:color w:val="auto"/>
          <w:sz w:val="20"/>
          <w:szCs w:val="20"/>
        </w:rPr>
        <w:t>oceanic</w:t>
      </w:r>
      <w:r>
        <w:rPr>
          <w:rFonts w:ascii="Calibri" w:hAnsi="Calibri"/>
          <w:color w:val="auto"/>
          <w:sz w:val="20"/>
          <w:szCs w:val="20"/>
        </w:rPr>
        <w:t>”</w:t>
      </w:r>
      <w:r w:rsidRPr="00C30612">
        <w:rPr>
          <w:rFonts w:ascii="Calibri" w:hAnsi="Calibri"/>
          <w:color w:val="auto"/>
          <w:sz w:val="20"/>
          <w:szCs w:val="20"/>
        </w:rPr>
        <w:t xml:space="preserve"> and </w:t>
      </w:r>
      <w:r>
        <w:rPr>
          <w:rFonts w:ascii="Calibri" w:hAnsi="Calibri"/>
          <w:color w:val="auto"/>
          <w:sz w:val="20"/>
          <w:szCs w:val="20"/>
        </w:rPr>
        <w:t>“</w:t>
      </w:r>
      <w:r w:rsidRPr="00C30612">
        <w:rPr>
          <w:rFonts w:ascii="Calibri" w:hAnsi="Calibri"/>
          <w:color w:val="auto"/>
          <w:sz w:val="20"/>
          <w:szCs w:val="20"/>
        </w:rPr>
        <w:t>agricultural</w:t>
      </w:r>
      <w:r>
        <w:rPr>
          <w:rFonts w:ascii="Calibri" w:hAnsi="Calibri"/>
          <w:color w:val="auto"/>
          <w:sz w:val="20"/>
          <w:szCs w:val="20"/>
        </w:rPr>
        <w:t>”</w:t>
      </w:r>
      <w:r w:rsidRPr="00C30612">
        <w:rPr>
          <w:rFonts w:ascii="Calibri" w:hAnsi="Calibri"/>
          <w:color w:val="auto"/>
          <w:sz w:val="20"/>
          <w:szCs w:val="20"/>
        </w:rPr>
        <w:t xml:space="preserve"> France</w:t>
      </w:r>
      <w:r>
        <w:rPr>
          <w:rFonts w:ascii="Calibri" w:hAnsi="Calibri"/>
          <w:color w:val="auto"/>
          <w:sz w:val="20"/>
          <w:szCs w:val="20"/>
        </w:rPr>
        <w:t>, between which he divided his time</w:t>
      </w:r>
      <w:r w:rsidRPr="00C30612">
        <w:rPr>
          <w:rFonts w:ascii="Calibri" w:hAnsi="Calibri"/>
          <w:color w:val="auto"/>
          <w:sz w:val="20"/>
          <w:szCs w:val="20"/>
        </w:rPr>
        <w:t xml:space="preserve">—see Cheney, </w:t>
      </w:r>
      <w:r w:rsidRPr="00C30612">
        <w:rPr>
          <w:rFonts w:ascii="Calibri" w:hAnsi="Calibri"/>
          <w:i/>
          <w:color w:val="auto"/>
          <w:sz w:val="20"/>
          <w:szCs w:val="20"/>
        </w:rPr>
        <w:t>Revolutionary Commerce</w:t>
      </w:r>
      <w:r w:rsidRPr="00C30612">
        <w:rPr>
          <w:rFonts w:ascii="Calibri" w:hAnsi="Calibri"/>
          <w:color w:val="auto"/>
          <w:sz w:val="20"/>
          <w:szCs w:val="20"/>
        </w:rPr>
        <w:t xml:space="preserve">, pp. 73-86. On the oceanic/agricultural distinction, see Edward Whiting Fox, </w:t>
      </w:r>
      <w:r w:rsidRPr="00C30612">
        <w:rPr>
          <w:rFonts w:ascii="Calibri" w:hAnsi="Calibri"/>
          <w:i/>
          <w:color w:val="auto"/>
          <w:sz w:val="20"/>
          <w:szCs w:val="20"/>
        </w:rPr>
        <w:t>History in Geographic Perspective: The Other France</w:t>
      </w:r>
      <w:r w:rsidRPr="00C30612">
        <w:rPr>
          <w:rFonts w:ascii="Calibri" w:hAnsi="Calibri"/>
          <w:color w:val="auto"/>
          <w:sz w:val="20"/>
          <w:szCs w:val="20"/>
        </w:rPr>
        <w:t xml:space="preserve"> (New York, 1971), pp. 54-72.</w:t>
      </w:r>
    </w:p>
  </w:footnote>
  <w:footnote w:id="99">
    <w:p w14:paraId="0AC3A4DF" w14:textId="67A0AA3D" w:rsidR="00F11556" w:rsidRPr="00C30612" w:rsidRDefault="00F11556" w:rsidP="00D73567">
      <w:pPr>
        <w:pStyle w:val="normal0"/>
        <w:spacing w:line="240" w:lineRule="auto"/>
        <w:contextualSpacing w:val="0"/>
        <w:rPr>
          <w:rFonts w:ascii="Calibri" w:hAnsi="Calibr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For Montesquieu, the classical republics were a relevant foil, not a nostalgic one: see Nannerl O. Keohane</w:t>
      </w:r>
      <w:r>
        <w:rPr>
          <w:rFonts w:ascii="Calibri" w:hAnsi="Calibri"/>
          <w:color w:val="auto"/>
          <w:sz w:val="20"/>
          <w:szCs w:val="20"/>
        </w:rPr>
        <w:t>’</w:t>
      </w:r>
      <w:r w:rsidRPr="00C30612">
        <w:rPr>
          <w:rFonts w:ascii="Calibri" w:hAnsi="Calibri"/>
          <w:color w:val="auto"/>
          <w:sz w:val="20"/>
          <w:szCs w:val="20"/>
        </w:rPr>
        <w:t xml:space="preserve">s argument against the supposition that </w:t>
      </w:r>
      <w:r>
        <w:rPr>
          <w:rFonts w:ascii="Calibri" w:hAnsi="Calibri"/>
          <w:color w:val="auto"/>
          <w:sz w:val="20"/>
          <w:szCs w:val="20"/>
        </w:rPr>
        <w:t>“</w:t>
      </w:r>
      <w:r w:rsidRPr="00C30612">
        <w:rPr>
          <w:rFonts w:ascii="Calibri" w:hAnsi="Calibri"/>
          <w:color w:val="auto"/>
          <w:sz w:val="20"/>
          <w:szCs w:val="20"/>
        </w:rPr>
        <w:t>he took [the virtuous republic] to be a phenomenon of the classical past irrelevant to modern man</w:t>
      </w:r>
      <w:r>
        <w:rPr>
          <w:rFonts w:ascii="Calibri" w:hAnsi="Calibri"/>
          <w:color w:val="auto"/>
          <w:sz w:val="20"/>
          <w:szCs w:val="20"/>
        </w:rPr>
        <w:t>.”</w:t>
      </w:r>
      <w:r w:rsidRPr="00C30612">
        <w:rPr>
          <w:rFonts w:ascii="Calibri" w:hAnsi="Calibri"/>
          <w:color w:val="auto"/>
          <w:sz w:val="20"/>
          <w:szCs w:val="20"/>
        </w:rPr>
        <w:t xml:space="preserve"> Keohane, </w:t>
      </w:r>
      <w:r>
        <w:rPr>
          <w:rFonts w:ascii="Calibri" w:hAnsi="Calibri"/>
          <w:color w:val="auto"/>
          <w:sz w:val="20"/>
          <w:szCs w:val="20"/>
        </w:rPr>
        <w:t>“</w:t>
      </w:r>
      <w:r w:rsidRPr="00C30612">
        <w:rPr>
          <w:rFonts w:ascii="Calibri" w:hAnsi="Calibri"/>
          <w:color w:val="auto"/>
          <w:sz w:val="20"/>
          <w:szCs w:val="20"/>
        </w:rPr>
        <w:t xml:space="preserve">Virtuous Republics and Glorious Monarchies: Two Models in </w:t>
      </w:r>
      <w:r>
        <w:rPr>
          <w:rFonts w:ascii="Calibri" w:hAnsi="Calibri"/>
          <w:color w:val="auto"/>
          <w:sz w:val="20"/>
          <w:szCs w:val="20"/>
        </w:rPr>
        <w:t>Montesquieu’s</w:t>
      </w:r>
      <w:r w:rsidRPr="00C30612">
        <w:rPr>
          <w:rFonts w:ascii="Calibri" w:hAnsi="Calibri"/>
          <w:color w:val="auto"/>
          <w:sz w:val="20"/>
          <w:szCs w:val="20"/>
        </w:rPr>
        <w:t xml:space="preserve"> Political Thought</w:t>
      </w:r>
      <w:r>
        <w:rPr>
          <w:rFonts w:ascii="Calibri" w:hAnsi="Calibri"/>
          <w:color w:val="auto"/>
          <w:sz w:val="20"/>
          <w:szCs w:val="20"/>
        </w:rPr>
        <w:t>,”</w:t>
      </w:r>
      <w:r w:rsidRPr="00C30612">
        <w:rPr>
          <w:rFonts w:ascii="Calibri" w:hAnsi="Calibri"/>
          <w:color w:val="auto"/>
          <w:sz w:val="20"/>
          <w:szCs w:val="20"/>
        </w:rPr>
        <w:t xml:space="preserve"> </w:t>
      </w:r>
      <w:r w:rsidRPr="00C30612">
        <w:rPr>
          <w:rFonts w:ascii="Calibri" w:hAnsi="Calibri"/>
          <w:i/>
          <w:color w:val="auto"/>
          <w:sz w:val="20"/>
          <w:szCs w:val="20"/>
        </w:rPr>
        <w:t xml:space="preserve">Political Studies </w:t>
      </w:r>
      <w:r w:rsidRPr="00C30612">
        <w:rPr>
          <w:rFonts w:ascii="Calibri" w:hAnsi="Calibri"/>
          <w:color w:val="auto"/>
          <w:sz w:val="20"/>
          <w:szCs w:val="20"/>
        </w:rPr>
        <w:t>20 (4) (1972), pp. 383-96, p. 394.</w:t>
      </w:r>
    </w:p>
  </w:footnote>
  <w:footnote w:id="100">
    <w:p w14:paraId="0E98A916" w14:textId="314EB3DB" w:rsidR="00F11556" w:rsidRPr="00C30612" w:rsidRDefault="00F11556" w:rsidP="00D73567">
      <w:pPr>
        <w:pStyle w:val="normal0"/>
        <w:spacing w:line="240" w:lineRule="auto"/>
        <w:contextualSpacing w:val="0"/>
        <w:rPr>
          <w:rFonts w:ascii="Calibri" w:hAnsi="Calibr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Montesquieu, </w:t>
      </w:r>
      <w:r w:rsidRPr="00C30612">
        <w:rPr>
          <w:rFonts w:ascii="Calibri" w:hAnsi="Calibri"/>
          <w:i/>
          <w:color w:val="auto"/>
          <w:sz w:val="20"/>
          <w:szCs w:val="20"/>
        </w:rPr>
        <w:t>The Spirit of the Laws</w:t>
      </w:r>
      <w:r w:rsidRPr="00C30612">
        <w:rPr>
          <w:rFonts w:ascii="Calibri" w:hAnsi="Calibri"/>
          <w:color w:val="auto"/>
          <w:sz w:val="20"/>
          <w:szCs w:val="20"/>
        </w:rPr>
        <w:t>, p. 35.</w:t>
      </w:r>
    </w:p>
  </w:footnote>
  <w:footnote w:id="101">
    <w:p w14:paraId="119B7751" w14:textId="3356B579" w:rsidR="00F11556" w:rsidRPr="00C30612" w:rsidRDefault="00F11556" w:rsidP="00D73567">
      <w:pPr>
        <w:pStyle w:val="normal0"/>
        <w:spacing w:line="240" w:lineRule="auto"/>
        <w:contextualSpacing w:val="0"/>
        <w:rPr>
          <w:rFonts w:ascii="Calibri" w:hAnsi="Calibr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Ibid., p. 43.</w:t>
      </w:r>
    </w:p>
  </w:footnote>
  <w:footnote w:id="102">
    <w:p w14:paraId="13A131F9" w14:textId="207C9F6D" w:rsidR="00F11556" w:rsidRPr="00C30612" w:rsidRDefault="00F11556" w:rsidP="00D73567">
      <w:pPr>
        <w:pStyle w:val="normal0"/>
        <w:spacing w:line="240" w:lineRule="auto"/>
        <w:contextualSpacing w:val="0"/>
        <w:rPr>
          <w:rFonts w:ascii="Calibri" w:hAnsi="Calibr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Ibid., pp. 43, 116, 36, 338.</w:t>
      </w:r>
    </w:p>
  </w:footnote>
  <w:footnote w:id="103">
    <w:p w14:paraId="5C02046D" w14:textId="67FCE27A" w:rsidR="00F11556" w:rsidRPr="00C30612" w:rsidRDefault="00F11556" w:rsidP="00D73567">
      <w:pPr>
        <w:pStyle w:val="normal0"/>
        <w:spacing w:line="240" w:lineRule="auto"/>
        <w:contextualSpacing w:val="0"/>
        <w:rPr>
          <w:rFonts w:ascii="Calibri" w:hAnsi="Calibr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Ibid., pp. 48, 97.</w:t>
      </w:r>
    </w:p>
  </w:footnote>
  <w:footnote w:id="104">
    <w:p w14:paraId="62DC2A4F" w14:textId="3703EFC0" w:rsidR="00F11556" w:rsidRPr="00C30612" w:rsidRDefault="00F11556" w:rsidP="00D73567">
      <w:pPr>
        <w:pStyle w:val="normal0"/>
        <w:spacing w:line="240" w:lineRule="auto"/>
        <w:contextualSpacing w:val="0"/>
        <w:rPr>
          <w:rFonts w:ascii="Calibri" w:hAnsi="Calibr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Keohane, </w:t>
      </w:r>
      <w:r>
        <w:rPr>
          <w:rFonts w:ascii="Calibri" w:hAnsi="Calibri"/>
          <w:color w:val="auto"/>
          <w:sz w:val="20"/>
          <w:szCs w:val="20"/>
        </w:rPr>
        <w:t>“</w:t>
      </w:r>
      <w:r w:rsidRPr="00C30612">
        <w:rPr>
          <w:rFonts w:ascii="Calibri" w:hAnsi="Calibri"/>
          <w:color w:val="auto"/>
          <w:sz w:val="20"/>
          <w:szCs w:val="20"/>
        </w:rPr>
        <w:t>Virtuous Republics and Glorious Monarchies</w:t>
      </w:r>
      <w:r>
        <w:rPr>
          <w:rFonts w:ascii="Calibri" w:hAnsi="Calibri"/>
          <w:color w:val="auto"/>
          <w:sz w:val="20"/>
          <w:szCs w:val="20"/>
        </w:rPr>
        <w:t>,”</w:t>
      </w:r>
      <w:r w:rsidRPr="00C30612">
        <w:rPr>
          <w:rFonts w:ascii="Calibri" w:hAnsi="Calibri"/>
          <w:color w:val="auto"/>
          <w:sz w:val="20"/>
          <w:szCs w:val="20"/>
        </w:rPr>
        <w:t xml:space="preserve"> p. 388. See also Cheney, </w:t>
      </w:r>
      <w:r w:rsidRPr="00C30612">
        <w:rPr>
          <w:rFonts w:ascii="Calibri" w:hAnsi="Calibri"/>
          <w:i/>
          <w:color w:val="auto"/>
          <w:sz w:val="20"/>
          <w:szCs w:val="20"/>
        </w:rPr>
        <w:t>Revolutionary Commerce</w:t>
      </w:r>
      <w:r w:rsidRPr="00C30612">
        <w:rPr>
          <w:rFonts w:ascii="Calibri" w:hAnsi="Calibri"/>
          <w:color w:val="auto"/>
          <w:sz w:val="20"/>
          <w:szCs w:val="20"/>
        </w:rPr>
        <w:t>, p. 67.</w:t>
      </w:r>
    </w:p>
  </w:footnote>
  <w:footnote w:id="105">
    <w:p w14:paraId="3350118F" w14:textId="0B657C1B" w:rsidR="00F11556" w:rsidRPr="00C30612" w:rsidRDefault="00F11556" w:rsidP="00D73567">
      <w:pPr>
        <w:pStyle w:val="normal0"/>
        <w:spacing w:line="240" w:lineRule="auto"/>
        <w:contextualSpacing w:val="0"/>
        <w:rPr>
          <w:rFonts w:ascii="Calibri" w:hAnsi="Calibr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Montesquieu, </w:t>
      </w:r>
      <w:r w:rsidRPr="00C30612">
        <w:rPr>
          <w:rFonts w:ascii="Calibri" w:hAnsi="Calibri"/>
          <w:i/>
          <w:color w:val="auto"/>
          <w:sz w:val="20"/>
          <w:szCs w:val="20"/>
        </w:rPr>
        <w:t>The Spirit of the Laws</w:t>
      </w:r>
      <w:r w:rsidRPr="00C30612">
        <w:rPr>
          <w:rFonts w:ascii="Calibri" w:hAnsi="Calibri"/>
          <w:color w:val="auto"/>
          <w:sz w:val="20"/>
          <w:szCs w:val="20"/>
        </w:rPr>
        <w:t>, pp. 338-9, 420.</w:t>
      </w:r>
    </w:p>
  </w:footnote>
  <w:footnote w:id="106">
    <w:p w14:paraId="21BE7444" w14:textId="5BF77ACE" w:rsidR="00F11556" w:rsidRPr="00C30612" w:rsidRDefault="00F11556" w:rsidP="00D73567">
      <w:pPr>
        <w:pStyle w:val="normal0"/>
        <w:spacing w:line="240" w:lineRule="auto"/>
        <w:contextualSpacing w:val="0"/>
        <w:rPr>
          <w:rFonts w:ascii="Calibri" w:hAnsi="Calibr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Judith N. Shklar, </w:t>
      </w:r>
      <w:r>
        <w:rPr>
          <w:rFonts w:ascii="Calibri" w:hAnsi="Calibri"/>
          <w:color w:val="auto"/>
          <w:sz w:val="20"/>
          <w:szCs w:val="20"/>
        </w:rPr>
        <w:t>“</w:t>
      </w:r>
      <w:r w:rsidRPr="00C30612">
        <w:rPr>
          <w:rFonts w:ascii="Calibri" w:hAnsi="Calibri"/>
          <w:color w:val="auto"/>
          <w:sz w:val="20"/>
          <w:szCs w:val="20"/>
        </w:rPr>
        <w:t>Putting Cruelty First</w:t>
      </w:r>
      <w:r>
        <w:rPr>
          <w:rFonts w:ascii="Calibri" w:hAnsi="Calibri"/>
          <w:color w:val="auto"/>
          <w:sz w:val="20"/>
          <w:szCs w:val="20"/>
        </w:rPr>
        <w:t>,”</w:t>
      </w:r>
      <w:r w:rsidRPr="00C30612">
        <w:rPr>
          <w:rFonts w:ascii="Calibri" w:hAnsi="Calibri"/>
          <w:color w:val="auto"/>
          <w:sz w:val="20"/>
          <w:szCs w:val="20"/>
        </w:rPr>
        <w:t xml:space="preserve"> </w:t>
      </w:r>
      <w:r w:rsidRPr="00C30612">
        <w:rPr>
          <w:rFonts w:ascii="Calibri" w:hAnsi="Calibri"/>
          <w:i/>
          <w:color w:val="auto"/>
          <w:sz w:val="20"/>
          <w:szCs w:val="20"/>
        </w:rPr>
        <w:t>Daedalus</w:t>
      </w:r>
      <w:r w:rsidRPr="00C30612">
        <w:rPr>
          <w:rFonts w:ascii="Calibri" w:hAnsi="Calibri"/>
          <w:color w:val="auto"/>
          <w:sz w:val="20"/>
          <w:szCs w:val="20"/>
        </w:rPr>
        <w:t xml:space="preserve"> 111 (3) (1982), pp. 17-27, p. 21. Yet Shklar also argues that the Jews</w:t>
      </w:r>
      <w:r>
        <w:rPr>
          <w:rFonts w:ascii="Calibri" w:hAnsi="Calibri"/>
          <w:color w:val="auto"/>
          <w:sz w:val="20"/>
          <w:szCs w:val="20"/>
        </w:rPr>
        <w:t>’</w:t>
      </w:r>
      <w:r w:rsidRPr="00C30612">
        <w:rPr>
          <w:rFonts w:ascii="Calibri" w:hAnsi="Calibri"/>
          <w:color w:val="auto"/>
          <w:sz w:val="20"/>
          <w:szCs w:val="20"/>
        </w:rPr>
        <w:t xml:space="preserve"> role as the bringers of commerce was central to </w:t>
      </w:r>
      <w:r>
        <w:rPr>
          <w:rFonts w:ascii="Calibri" w:hAnsi="Calibri"/>
          <w:color w:val="auto"/>
          <w:sz w:val="20"/>
          <w:szCs w:val="20"/>
        </w:rPr>
        <w:t>Montesquieu’s</w:t>
      </w:r>
      <w:r w:rsidRPr="00C30612">
        <w:rPr>
          <w:rFonts w:ascii="Calibri" w:hAnsi="Calibri"/>
          <w:color w:val="auto"/>
          <w:sz w:val="20"/>
          <w:szCs w:val="20"/>
        </w:rPr>
        <w:t xml:space="preserve"> idealized image of them.</w:t>
      </w:r>
    </w:p>
  </w:footnote>
  <w:footnote w:id="107">
    <w:p w14:paraId="227F1BF6" w14:textId="4F56BC99" w:rsidR="00F11556" w:rsidRPr="00C30612" w:rsidRDefault="00F11556" w:rsidP="00D73567">
      <w:pPr>
        <w:pStyle w:val="normal0"/>
        <w:spacing w:line="240" w:lineRule="auto"/>
        <w:contextualSpacing w:val="0"/>
        <w:rPr>
          <w:rFonts w:ascii="Calibri" w:hAnsi="Calibr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Hertzberg, </w:t>
      </w:r>
      <w:r w:rsidRPr="00C30612">
        <w:rPr>
          <w:rFonts w:ascii="Calibri" w:hAnsi="Calibri"/>
          <w:i/>
          <w:color w:val="auto"/>
          <w:sz w:val="20"/>
          <w:szCs w:val="20"/>
        </w:rPr>
        <w:t>The French Enlightenment and the Jews</w:t>
      </w:r>
      <w:r w:rsidRPr="00C30612">
        <w:rPr>
          <w:rFonts w:ascii="Calibri" w:hAnsi="Calibri"/>
          <w:color w:val="auto"/>
          <w:sz w:val="20"/>
          <w:szCs w:val="20"/>
        </w:rPr>
        <w:t>, p. 312.</w:t>
      </w:r>
    </w:p>
  </w:footnote>
  <w:footnote w:id="108">
    <w:p w14:paraId="01607C3F" w14:textId="5F9CFB9E" w:rsidR="00F11556" w:rsidRPr="00C30612" w:rsidRDefault="00F11556" w:rsidP="00D73567">
      <w:pPr>
        <w:pStyle w:val="normal0"/>
        <w:spacing w:line="240" w:lineRule="auto"/>
        <w:contextualSpacing w:val="0"/>
        <w:rPr>
          <w:rFonts w:ascii="Calibri" w:hAnsi="Calibr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Martha Nussbaum, </w:t>
      </w:r>
      <w:r w:rsidRPr="00C30612">
        <w:rPr>
          <w:rFonts w:ascii="Calibri" w:hAnsi="Calibri"/>
          <w:i/>
          <w:color w:val="auto"/>
          <w:sz w:val="20"/>
          <w:szCs w:val="20"/>
        </w:rPr>
        <w:t xml:space="preserve">From Disgust to Humanity </w:t>
      </w:r>
      <w:r w:rsidRPr="00C30612">
        <w:rPr>
          <w:rFonts w:ascii="Calibri" w:hAnsi="Calibri"/>
          <w:color w:val="auto"/>
          <w:sz w:val="20"/>
          <w:szCs w:val="20"/>
        </w:rPr>
        <w:t>(New York, 2010), pp. 16, 5.</w:t>
      </w:r>
    </w:p>
  </w:footnote>
  <w:footnote w:id="109">
    <w:p w14:paraId="6D8B2220" w14:textId="5A8769FF" w:rsidR="00F11556" w:rsidRPr="00C30612" w:rsidRDefault="00F11556" w:rsidP="00D73567">
      <w:pPr>
        <w:pStyle w:val="normal0"/>
        <w:spacing w:line="240" w:lineRule="auto"/>
        <w:contextualSpacing w:val="0"/>
        <w:rPr>
          <w:rFonts w:ascii="Calibri" w:hAnsi="Calibr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Voltaire, </w:t>
      </w:r>
      <w:r w:rsidRPr="00C30612">
        <w:rPr>
          <w:rFonts w:ascii="Calibri" w:hAnsi="Calibri"/>
          <w:i/>
          <w:color w:val="auto"/>
          <w:sz w:val="20"/>
          <w:szCs w:val="20"/>
        </w:rPr>
        <w:t>Essai sur les moeurs</w:t>
      </w:r>
      <w:r>
        <w:rPr>
          <w:rFonts w:ascii="Calibri" w:hAnsi="Calibri"/>
          <w:color w:val="auto"/>
          <w:sz w:val="20"/>
          <w:szCs w:val="20"/>
        </w:rPr>
        <w:t xml:space="preserve"> in </w:t>
      </w:r>
      <w:r>
        <w:rPr>
          <w:rFonts w:ascii="Calibri" w:hAnsi="Calibri"/>
          <w:i/>
          <w:color w:val="auto"/>
          <w:sz w:val="20"/>
          <w:szCs w:val="20"/>
        </w:rPr>
        <w:t>Oeuvres de Voltaire</w:t>
      </w:r>
      <w:r>
        <w:rPr>
          <w:rFonts w:ascii="Calibri" w:hAnsi="Calibri"/>
          <w:color w:val="auto"/>
          <w:sz w:val="20"/>
          <w:szCs w:val="20"/>
        </w:rPr>
        <w:t>, vol. 3 (Paris, 1821), pp. 233-4</w:t>
      </w:r>
      <w:r w:rsidRPr="00C30612">
        <w:rPr>
          <w:rFonts w:ascii="Calibri" w:hAnsi="Calibri"/>
          <w:color w:val="auto"/>
          <w:sz w:val="20"/>
          <w:szCs w:val="20"/>
        </w:rPr>
        <w:t xml:space="preserve">; this passage trans. Katz, </w:t>
      </w:r>
      <w:r w:rsidRPr="00C30612">
        <w:rPr>
          <w:rFonts w:ascii="Calibri" w:hAnsi="Calibri"/>
          <w:i/>
          <w:color w:val="auto"/>
          <w:sz w:val="20"/>
          <w:szCs w:val="20"/>
        </w:rPr>
        <w:t>From Prejudice to Destruction</w:t>
      </w:r>
      <w:r w:rsidRPr="00C30612">
        <w:rPr>
          <w:rFonts w:ascii="Calibri" w:hAnsi="Calibri"/>
          <w:color w:val="auto"/>
          <w:sz w:val="20"/>
          <w:szCs w:val="20"/>
        </w:rPr>
        <w:t>, p. 47.</w:t>
      </w:r>
    </w:p>
  </w:footnote>
  <w:footnote w:id="110">
    <w:p w14:paraId="0DA90A09" w14:textId="244D0591" w:rsidR="00F11556" w:rsidRPr="00C30612" w:rsidRDefault="00F11556" w:rsidP="00D73567">
      <w:pPr>
        <w:pStyle w:val="normal0"/>
        <w:spacing w:line="240" w:lineRule="auto"/>
        <w:contextualSpacing w:val="0"/>
        <w:rPr>
          <w:rFonts w:ascii="Calibri" w:hAnsi="Calibr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On rhetoric as the appeal to the </w:t>
      </w:r>
      <w:r>
        <w:rPr>
          <w:rFonts w:ascii="Calibri" w:hAnsi="Calibri"/>
          <w:color w:val="auto"/>
          <w:sz w:val="20"/>
          <w:szCs w:val="20"/>
        </w:rPr>
        <w:t>“</w:t>
      </w:r>
      <w:r w:rsidRPr="00C30612">
        <w:rPr>
          <w:rFonts w:ascii="Calibri" w:hAnsi="Calibri"/>
          <w:color w:val="auto"/>
          <w:sz w:val="20"/>
          <w:szCs w:val="20"/>
        </w:rPr>
        <w:t>situated judgment</w:t>
      </w:r>
      <w:r>
        <w:rPr>
          <w:rFonts w:ascii="Calibri" w:hAnsi="Calibri"/>
          <w:color w:val="auto"/>
          <w:sz w:val="20"/>
          <w:szCs w:val="20"/>
        </w:rPr>
        <w:t>”</w:t>
      </w:r>
      <w:r w:rsidRPr="00C30612">
        <w:rPr>
          <w:rFonts w:ascii="Calibri" w:hAnsi="Calibri"/>
          <w:color w:val="auto"/>
          <w:sz w:val="20"/>
          <w:szCs w:val="20"/>
        </w:rPr>
        <w:t xml:space="preserve"> of </w:t>
      </w:r>
      <w:r>
        <w:rPr>
          <w:rFonts w:ascii="Calibri" w:hAnsi="Calibri"/>
          <w:color w:val="auto"/>
          <w:sz w:val="20"/>
          <w:szCs w:val="20"/>
        </w:rPr>
        <w:t>“</w:t>
      </w:r>
      <w:r w:rsidRPr="00C30612">
        <w:rPr>
          <w:rFonts w:ascii="Calibri" w:hAnsi="Calibri"/>
          <w:color w:val="auto"/>
          <w:sz w:val="20"/>
          <w:szCs w:val="20"/>
        </w:rPr>
        <w:t>others wherever they stand</w:t>
      </w:r>
      <w:r>
        <w:rPr>
          <w:rFonts w:ascii="Calibri" w:hAnsi="Calibri"/>
          <w:color w:val="auto"/>
          <w:sz w:val="20"/>
          <w:szCs w:val="20"/>
        </w:rPr>
        <w:t>,”</w:t>
      </w:r>
      <w:r w:rsidRPr="00C30612">
        <w:rPr>
          <w:rFonts w:ascii="Calibri" w:hAnsi="Calibri"/>
          <w:color w:val="auto"/>
          <w:sz w:val="20"/>
          <w:szCs w:val="20"/>
        </w:rPr>
        <w:t xml:space="preserve"> see Bryan Garsten, </w:t>
      </w:r>
      <w:r w:rsidRPr="00C30612">
        <w:rPr>
          <w:rFonts w:ascii="Calibri" w:hAnsi="Calibri"/>
          <w:i/>
          <w:color w:val="auto"/>
          <w:sz w:val="20"/>
          <w:szCs w:val="20"/>
        </w:rPr>
        <w:t>Saving Persuasion</w:t>
      </w:r>
      <w:r w:rsidRPr="00C30612">
        <w:rPr>
          <w:rFonts w:ascii="Calibri" w:hAnsi="Calibri"/>
          <w:color w:val="auto"/>
          <w:sz w:val="20"/>
          <w:szCs w:val="20"/>
        </w:rPr>
        <w:t xml:space="preserve"> (Cambridge, MA, 2009), pp. 3, 119ff.</w:t>
      </w:r>
    </w:p>
  </w:footnote>
  <w:footnote w:id="111">
    <w:p w14:paraId="28F2A335" w14:textId="73CD6224" w:rsidR="00F11556" w:rsidRPr="00C30612" w:rsidRDefault="00F11556" w:rsidP="00D73567">
      <w:pPr>
        <w:pStyle w:val="normal0"/>
        <w:spacing w:line="240" w:lineRule="auto"/>
        <w:contextualSpacing w:val="0"/>
        <w:rPr>
          <w:rFonts w:ascii="Calibri" w:hAnsi="Calibri"/>
          <w:color w:val="auto"/>
          <w:sz w:val="20"/>
          <w:szCs w:val="20"/>
        </w:rPr>
      </w:pPr>
      <w:r w:rsidRPr="00C30612">
        <w:rPr>
          <w:rFonts w:ascii="Calibri" w:hAnsi="Calibri"/>
          <w:color w:val="auto"/>
          <w:sz w:val="20"/>
          <w:szCs w:val="20"/>
          <w:vertAlign w:val="superscript"/>
        </w:rPr>
        <w:footnoteRef/>
      </w:r>
      <w:r w:rsidRPr="00C30612">
        <w:rPr>
          <w:rFonts w:ascii="Calibri" w:hAnsi="Calibri"/>
          <w:color w:val="auto"/>
          <w:sz w:val="20"/>
          <w:szCs w:val="20"/>
        </w:rPr>
        <w:t xml:space="preserve"> John Kenneth Galbraith, </w:t>
      </w:r>
      <w:r w:rsidRPr="00C30612">
        <w:rPr>
          <w:rFonts w:ascii="Calibri" w:hAnsi="Calibri"/>
          <w:i/>
          <w:color w:val="auto"/>
          <w:sz w:val="20"/>
          <w:szCs w:val="20"/>
        </w:rPr>
        <w:t>A Short History of Financial Euphoria</w:t>
      </w:r>
      <w:r w:rsidRPr="00C30612">
        <w:rPr>
          <w:rFonts w:ascii="Calibri" w:hAnsi="Calibri"/>
          <w:color w:val="auto"/>
          <w:sz w:val="20"/>
          <w:szCs w:val="20"/>
        </w:rPr>
        <w:t xml:space="preserve"> (New York, 1993), p. 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F566E"/>
    <w:rsid w:val="000002CB"/>
    <w:rsid w:val="000004E7"/>
    <w:rsid w:val="00003EA6"/>
    <w:rsid w:val="00007BA2"/>
    <w:rsid w:val="00016F2C"/>
    <w:rsid w:val="0002495D"/>
    <w:rsid w:val="00037F60"/>
    <w:rsid w:val="00045777"/>
    <w:rsid w:val="00047F49"/>
    <w:rsid w:val="00086063"/>
    <w:rsid w:val="00096CFE"/>
    <w:rsid w:val="000970FA"/>
    <w:rsid w:val="000A5D61"/>
    <w:rsid w:val="000B15E1"/>
    <w:rsid w:val="000B37A4"/>
    <w:rsid w:val="000D14BE"/>
    <w:rsid w:val="00107207"/>
    <w:rsid w:val="0011049E"/>
    <w:rsid w:val="001179AD"/>
    <w:rsid w:val="00125FC5"/>
    <w:rsid w:val="0013108E"/>
    <w:rsid w:val="00134A11"/>
    <w:rsid w:val="00142957"/>
    <w:rsid w:val="00142DB0"/>
    <w:rsid w:val="001431B7"/>
    <w:rsid w:val="001638B8"/>
    <w:rsid w:val="00180B42"/>
    <w:rsid w:val="00181C34"/>
    <w:rsid w:val="00190BD8"/>
    <w:rsid w:val="00191EE1"/>
    <w:rsid w:val="0019488D"/>
    <w:rsid w:val="001A0096"/>
    <w:rsid w:val="001A1122"/>
    <w:rsid w:val="001A50E4"/>
    <w:rsid w:val="001B103C"/>
    <w:rsid w:val="001B2F1E"/>
    <w:rsid w:val="001B34D7"/>
    <w:rsid w:val="001B7251"/>
    <w:rsid w:val="001C5926"/>
    <w:rsid w:val="001E1FE9"/>
    <w:rsid w:val="00212AF9"/>
    <w:rsid w:val="0021364E"/>
    <w:rsid w:val="00216697"/>
    <w:rsid w:val="00222588"/>
    <w:rsid w:val="00235A03"/>
    <w:rsid w:val="00236841"/>
    <w:rsid w:val="00260E7B"/>
    <w:rsid w:val="0026310A"/>
    <w:rsid w:val="002652CD"/>
    <w:rsid w:val="00266884"/>
    <w:rsid w:val="00271E63"/>
    <w:rsid w:val="00275A5E"/>
    <w:rsid w:val="00290F67"/>
    <w:rsid w:val="002917D7"/>
    <w:rsid w:val="002A3F8F"/>
    <w:rsid w:val="002A6F9E"/>
    <w:rsid w:val="002F566E"/>
    <w:rsid w:val="002F5D7D"/>
    <w:rsid w:val="003035F7"/>
    <w:rsid w:val="00310743"/>
    <w:rsid w:val="00330665"/>
    <w:rsid w:val="00343257"/>
    <w:rsid w:val="00350D95"/>
    <w:rsid w:val="0035110A"/>
    <w:rsid w:val="00353A8C"/>
    <w:rsid w:val="00360FF1"/>
    <w:rsid w:val="00370174"/>
    <w:rsid w:val="00372D19"/>
    <w:rsid w:val="00394D9B"/>
    <w:rsid w:val="003A2461"/>
    <w:rsid w:val="003A5E90"/>
    <w:rsid w:val="003C063C"/>
    <w:rsid w:val="003C43ED"/>
    <w:rsid w:val="003D0D9B"/>
    <w:rsid w:val="003E555C"/>
    <w:rsid w:val="003E6AE3"/>
    <w:rsid w:val="003F265E"/>
    <w:rsid w:val="003F2B1C"/>
    <w:rsid w:val="003F4B68"/>
    <w:rsid w:val="00400CF9"/>
    <w:rsid w:val="004078A7"/>
    <w:rsid w:val="00411136"/>
    <w:rsid w:val="0042189E"/>
    <w:rsid w:val="00435538"/>
    <w:rsid w:val="004607B5"/>
    <w:rsid w:val="00463D02"/>
    <w:rsid w:val="00466EC6"/>
    <w:rsid w:val="004818C5"/>
    <w:rsid w:val="00490E5C"/>
    <w:rsid w:val="00495AC8"/>
    <w:rsid w:val="004A1480"/>
    <w:rsid w:val="004A1846"/>
    <w:rsid w:val="004A6805"/>
    <w:rsid w:val="004C2E02"/>
    <w:rsid w:val="004D3EAE"/>
    <w:rsid w:val="004E081E"/>
    <w:rsid w:val="004E3ED7"/>
    <w:rsid w:val="004F0296"/>
    <w:rsid w:val="005021E0"/>
    <w:rsid w:val="00511D80"/>
    <w:rsid w:val="00525F3D"/>
    <w:rsid w:val="00532B95"/>
    <w:rsid w:val="00551EBC"/>
    <w:rsid w:val="00572087"/>
    <w:rsid w:val="005723FA"/>
    <w:rsid w:val="005817AC"/>
    <w:rsid w:val="00584134"/>
    <w:rsid w:val="00586B23"/>
    <w:rsid w:val="0059145B"/>
    <w:rsid w:val="005A4EC4"/>
    <w:rsid w:val="005B5641"/>
    <w:rsid w:val="005B577C"/>
    <w:rsid w:val="005D20D7"/>
    <w:rsid w:val="005D24D2"/>
    <w:rsid w:val="005E1E20"/>
    <w:rsid w:val="005E5AD0"/>
    <w:rsid w:val="005F3E7F"/>
    <w:rsid w:val="0061115C"/>
    <w:rsid w:val="00647164"/>
    <w:rsid w:val="00651214"/>
    <w:rsid w:val="0065375F"/>
    <w:rsid w:val="00653E05"/>
    <w:rsid w:val="00654A4B"/>
    <w:rsid w:val="00666FE5"/>
    <w:rsid w:val="00667246"/>
    <w:rsid w:val="006745D5"/>
    <w:rsid w:val="006878E7"/>
    <w:rsid w:val="00695AD4"/>
    <w:rsid w:val="006B1718"/>
    <w:rsid w:val="006C1D6F"/>
    <w:rsid w:val="006C40B7"/>
    <w:rsid w:val="006D5041"/>
    <w:rsid w:val="006E2AC0"/>
    <w:rsid w:val="006E77A4"/>
    <w:rsid w:val="00701A49"/>
    <w:rsid w:val="007107EF"/>
    <w:rsid w:val="00716EFD"/>
    <w:rsid w:val="00717F3F"/>
    <w:rsid w:val="00733D26"/>
    <w:rsid w:val="00740BC8"/>
    <w:rsid w:val="00742478"/>
    <w:rsid w:val="007519DE"/>
    <w:rsid w:val="007623A0"/>
    <w:rsid w:val="007724A6"/>
    <w:rsid w:val="00775467"/>
    <w:rsid w:val="0077553E"/>
    <w:rsid w:val="00775E57"/>
    <w:rsid w:val="007813BB"/>
    <w:rsid w:val="00783E71"/>
    <w:rsid w:val="007855C4"/>
    <w:rsid w:val="00793D00"/>
    <w:rsid w:val="007E05F0"/>
    <w:rsid w:val="007E41D1"/>
    <w:rsid w:val="007F71DA"/>
    <w:rsid w:val="008224EF"/>
    <w:rsid w:val="00827837"/>
    <w:rsid w:val="0084516C"/>
    <w:rsid w:val="0084637C"/>
    <w:rsid w:val="00846C0D"/>
    <w:rsid w:val="00854572"/>
    <w:rsid w:val="00856C0D"/>
    <w:rsid w:val="008618E9"/>
    <w:rsid w:val="00862195"/>
    <w:rsid w:val="00871FAE"/>
    <w:rsid w:val="0087499F"/>
    <w:rsid w:val="00877E86"/>
    <w:rsid w:val="00881547"/>
    <w:rsid w:val="00885094"/>
    <w:rsid w:val="008A0A5B"/>
    <w:rsid w:val="008A4DD6"/>
    <w:rsid w:val="008A5BFF"/>
    <w:rsid w:val="008B63F2"/>
    <w:rsid w:val="008D5931"/>
    <w:rsid w:val="009215B7"/>
    <w:rsid w:val="00945871"/>
    <w:rsid w:val="009721A8"/>
    <w:rsid w:val="009825FE"/>
    <w:rsid w:val="009957D1"/>
    <w:rsid w:val="009A1741"/>
    <w:rsid w:val="009A66BA"/>
    <w:rsid w:val="009A6A85"/>
    <w:rsid w:val="009D1471"/>
    <w:rsid w:val="009D755B"/>
    <w:rsid w:val="009E2174"/>
    <w:rsid w:val="009E2DC5"/>
    <w:rsid w:val="009E49ED"/>
    <w:rsid w:val="00A07432"/>
    <w:rsid w:val="00A11234"/>
    <w:rsid w:val="00A178B2"/>
    <w:rsid w:val="00A241C8"/>
    <w:rsid w:val="00A30AA1"/>
    <w:rsid w:val="00A32F92"/>
    <w:rsid w:val="00A36934"/>
    <w:rsid w:val="00A3755A"/>
    <w:rsid w:val="00A43D35"/>
    <w:rsid w:val="00A45559"/>
    <w:rsid w:val="00A542F8"/>
    <w:rsid w:val="00A555F4"/>
    <w:rsid w:val="00A624C6"/>
    <w:rsid w:val="00A64C7E"/>
    <w:rsid w:val="00A64FD0"/>
    <w:rsid w:val="00A70A1F"/>
    <w:rsid w:val="00A76B1B"/>
    <w:rsid w:val="00A87C4C"/>
    <w:rsid w:val="00A945B4"/>
    <w:rsid w:val="00A94D24"/>
    <w:rsid w:val="00A97923"/>
    <w:rsid w:val="00AA41F2"/>
    <w:rsid w:val="00AA77F1"/>
    <w:rsid w:val="00AB27E9"/>
    <w:rsid w:val="00AE1408"/>
    <w:rsid w:val="00AE3932"/>
    <w:rsid w:val="00AE60B0"/>
    <w:rsid w:val="00AF2299"/>
    <w:rsid w:val="00AF5E17"/>
    <w:rsid w:val="00B0611B"/>
    <w:rsid w:val="00B11451"/>
    <w:rsid w:val="00B13595"/>
    <w:rsid w:val="00B4699D"/>
    <w:rsid w:val="00B715B5"/>
    <w:rsid w:val="00B7513E"/>
    <w:rsid w:val="00B76C30"/>
    <w:rsid w:val="00B7736C"/>
    <w:rsid w:val="00B80D3A"/>
    <w:rsid w:val="00B940BC"/>
    <w:rsid w:val="00B947A7"/>
    <w:rsid w:val="00B95188"/>
    <w:rsid w:val="00BA064E"/>
    <w:rsid w:val="00BA1669"/>
    <w:rsid w:val="00BA3590"/>
    <w:rsid w:val="00BA3DAA"/>
    <w:rsid w:val="00BA5052"/>
    <w:rsid w:val="00BA7671"/>
    <w:rsid w:val="00BA7D97"/>
    <w:rsid w:val="00BB43BB"/>
    <w:rsid w:val="00BB5C27"/>
    <w:rsid w:val="00BD0B8C"/>
    <w:rsid w:val="00BD6677"/>
    <w:rsid w:val="00C04EBB"/>
    <w:rsid w:val="00C12F0B"/>
    <w:rsid w:val="00C30612"/>
    <w:rsid w:val="00C57403"/>
    <w:rsid w:val="00C7057E"/>
    <w:rsid w:val="00C75A46"/>
    <w:rsid w:val="00C8517D"/>
    <w:rsid w:val="00C96C62"/>
    <w:rsid w:val="00CA2FC6"/>
    <w:rsid w:val="00CA4333"/>
    <w:rsid w:val="00CB5B80"/>
    <w:rsid w:val="00CD580D"/>
    <w:rsid w:val="00CD6B98"/>
    <w:rsid w:val="00CF0BF3"/>
    <w:rsid w:val="00CF5434"/>
    <w:rsid w:val="00D03658"/>
    <w:rsid w:val="00D05E3E"/>
    <w:rsid w:val="00D062C3"/>
    <w:rsid w:val="00D12C68"/>
    <w:rsid w:val="00D43671"/>
    <w:rsid w:val="00D47CE7"/>
    <w:rsid w:val="00D5139A"/>
    <w:rsid w:val="00D5270C"/>
    <w:rsid w:val="00D56225"/>
    <w:rsid w:val="00D61370"/>
    <w:rsid w:val="00D63D73"/>
    <w:rsid w:val="00D64D83"/>
    <w:rsid w:val="00D728D6"/>
    <w:rsid w:val="00D73567"/>
    <w:rsid w:val="00D7445A"/>
    <w:rsid w:val="00D8029A"/>
    <w:rsid w:val="00D84496"/>
    <w:rsid w:val="00D86BB4"/>
    <w:rsid w:val="00D92BDB"/>
    <w:rsid w:val="00D943F3"/>
    <w:rsid w:val="00DA12E0"/>
    <w:rsid w:val="00DC0034"/>
    <w:rsid w:val="00DE0DC5"/>
    <w:rsid w:val="00DE0FED"/>
    <w:rsid w:val="00DE1C32"/>
    <w:rsid w:val="00DF6ECB"/>
    <w:rsid w:val="00E01771"/>
    <w:rsid w:val="00E06DB0"/>
    <w:rsid w:val="00E07A1A"/>
    <w:rsid w:val="00E21781"/>
    <w:rsid w:val="00E33262"/>
    <w:rsid w:val="00E4123C"/>
    <w:rsid w:val="00E5750D"/>
    <w:rsid w:val="00E67C9E"/>
    <w:rsid w:val="00E8260C"/>
    <w:rsid w:val="00E85B57"/>
    <w:rsid w:val="00EA3D63"/>
    <w:rsid w:val="00EB185D"/>
    <w:rsid w:val="00EB2299"/>
    <w:rsid w:val="00EB4910"/>
    <w:rsid w:val="00EC5668"/>
    <w:rsid w:val="00EC758C"/>
    <w:rsid w:val="00ED2670"/>
    <w:rsid w:val="00ED27F3"/>
    <w:rsid w:val="00ED5363"/>
    <w:rsid w:val="00EE478F"/>
    <w:rsid w:val="00F03174"/>
    <w:rsid w:val="00F11556"/>
    <w:rsid w:val="00F13AB4"/>
    <w:rsid w:val="00F42862"/>
    <w:rsid w:val="00F437CF"/>
    <w:rsid w:val="00F451B4"/>
    <w:rsid w:val="00F5105F"/>
    <w:rsid w:val="00F5296D"/>
    <w:rsid w:val="00F539E5"/>
    <w:rsid w:val="00F56854"/>
    <w:rsid w:val="00F57CF4"/>
    <w:rsid w:val="00F60F60"/>
    <w:rsid w:val="00F651D9"/>
    <w:rsid w:val="00F74240"/>
    <w:rsid w:val="00F77BD7"/>
    <w:rsid w:val="00F81558"/>
    <w:rsid w:val="00F91C81"/>
    <w:rsid w:val="00F92A75"/>
    <w:rsid w:val="00FB231C"/>
    <w:rsid w:val="00FC6607"/>
    <w:rsid w:val="00FC6AC2"/>
    <w:rsid w:val="00FD1453"/>
    <w:rsid w:val="00FE1FA6"/>
    <w:rsid w:val="00FE3015"/>
    <w:rsid w:val="00FF5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F49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spacing w:line="276" w:lineRule="auto"/>
      <w:contextualSpacing/>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 w:type="paragraph" w:styleId="NormalWeb">
    <w:name w:val="Normal (Web)"/>
    <w:basedOn w:val="Normal"/>
    <w:uiPriority w:val="99"/>
    <w:unhideWhenUsed/>
    <w:rsid w:val="004D3EAE"/>
    <w:pPr>
      <w:spacing w:before="100" w:beforeAutospacing="1" w:after="100" w:afterAutospacing="1"/>
    </w:pPr>
    <w:rPr>
      <w:rFonts w:ascii="Times" w:hAnsi="Times" w:cs="Times New Roman"/>
      <w:sz w:val="20"/>
      <w:szCs w:val="20"/>
      <w:lang w:eastAsia="en-US"/>
    </w:rPr>
  </w:style>
  <w:style w:type="paragraph" w:styleId="FootnoteText">
    <w:name w:val="footnote text"/>
    <w:basedOn w:val="Normal"/>
    <w:link w:val="FootnoteTextChar"/>
    <w:uiPriority w:val="99"/>
    <w:unhideWhenUsed/>
    <w:rsid w:val="007855C4"/>
  </w:style>
  <w:style w:type="character" w:customStyle="1" w:styleId="FootnoteTextChar">
    <w:name w:val="Footnote Text Char"/>
    <w:basedOn w:val="DefaultParagraphFont"/>
    <w:link w:val="FootnoteText"/>
    <w:uiPriority w:val="99"/>
    <w:rsid w:val="007855C4"/>
  </w:style>
  <w:style w:type="character" w:styleId="FootnoteReference">
    <w:name w:val="footnote reference"/>
    <w:basedOn w:val="DefaultParagraphFont"/>
    <w:uiPriority w:val="99"/>
    <w:unhideWhenUsed/>
    <w:rsid w:val="007855C4"/>
    <w:rPr>
      <w:vertAlign w:val="superscript"/>
    </w:rPr>
  </w:style>
  <w:style w:type="paragraph" w:styleId="NoSpacing">
    <w:name w:val="No Spacing"/>
    <w:uiPriority w:val="1"/>
    <w:qFormat/>
    <w:rsid w:val="00266884"/>
  </w:style>
  <w:style w:type="character" w:customStyle="1" w:styleId="apple-converted-space">
    <w:name w:val="apple-converted-space"/>
    <w:basedOn w:val="DefaultParagraphFont"/>
    <w:rsid w:val="00A32F92"/>
  </w:style>
  <w:style w:type="character" w:styleId="Emphasis">
    <w:name w:val="Emphasis"/>
    <w:basedOn w:val="DefaultParagraphFont"/>
    <w:uiPriority w:val="20"/>
    <w:qFormat/>
    <w:rsid w:val="00A32F92"/>
    <w:rPr>
      <w:i/>
      <w:iCs/>
    </w:rPr>
  </w:style>
  <w:style w:type="character" w:styleId="Hyperlink">
    <w:name w:val="Hyperlink"/>
    <w:basedOn w:val="DefaultParagraphFont"/>
    <w:uiPriority w:val="99"/>
    <w:unhideWhenUsed/>
    <w:rsid w:val="00584134"/>
    <w:rPr>
      <w:color w:val="0000FF" w:themeColor="hyperlink"/>
      <w:u w:val="single"/>
    </w:rPr>
  </w:style>
  <w:style w:type="paragraph" w:styleId="Header">
    <w:name w:val="header"/>
    <w:basedOn w:val="Normal"/>
    <w:link w:val="HeaderChar"/>
    <w:uiPriority w:val="99"/>
    <w:unhideWhenUsed/>
    <w:rsid w:val="002A6F9E"/>
    <w:pPr>
      <w:tabs>
        <w:tab w:val="center" w:pos="4320"/>
        <w:tab w:val="right" w:pos="8640"/>
      </w:tabs>
    </w:pPr>
  </w:style>
  <w:style w:type="character" w:customStyle="1" w:styleId="HeaderChar">
    <w:name w:val="Header Char"/>
    <w:basedOn w:val="DefaultParagraphFont"/>
    <w:link w:val="Header"/>
    <w:uiPriority w:val="99"/>
    <w:rsid w:val="002A6F9E"/>
  </w:style>
  <w:style w:type="paragraph" w:styleId="Footer">
    <w:name w:val="footer"/>
    <w:basedOn w:val="Normal"/>
    <w:link w:val="FooterChar"/>
    <w:uiPriority w:val="99"/>
    <w:unhideWhenUsed/>
    <w:rsid w:val="002A6F9E"/>
    <w:pPr>
      <w:tabs>
        <w:tab w:val="center" w:pos="4320"/>
        <w:tab w:val="right" w:pos="8640"/>
      </w:tabs>
    </w:pPr>
  </w:style>
  <w:style w:type="character" w:customStyle="1" w:styleId="FooterChar">
    <w:name w:val="Footer Char"/>
    <w:basedOn w:val="DefaultParagraphFont"/>
    <w:link w:val="Footer"/>
    <w:uiPriority w:val="99"/>
    <w:rsid w:val="002A6F9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spacing w:line="276" w:lineRule="auto"/>
      <w:contextualSpacing/>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 w:type="paragraph" w:styleId="NormalWeb">
    <w:name w:val="Normal (Web)"/>
    <w:basedOn w:val="Normal"/>
    <w:uiPriority w:val="99"/>
    <w:unhideWhenUsed/>
    <w:rsid w:val="004D3EAE"/>
    <w:pPr>
      <w:spacing w:before="100" w:beforeAutospacing="1" w:after="100" w:afterAutospacing="1"/>
    </w:pPr>
    <w:rPr>
      <w:rFonts w:ascii="Times" w:hAnsi="Times" w:cs="Times New Roman"/>
      <w:sz w:val="20"/>
      <w:szCs w:val="20"/>
      <w:lang w:eastAsia="en-US"/>
    </w:rPr>
  </w:style>
  <w:style w:type="paragraph" w:styleId="FootnoteText">
    <w:name w:val="footnote text"/>
    <w:basedOn w:val="Normal"/>
    <w:link w:val="FootnoteTextChar"/>
    <w:uiPriority w:val="99"/>
    <w:unhideWhenUsed/>
    <w:rsid w:val="007855C4"/>
  </w:style>
  <w:style w:type="character" w:customStyle="1" w:styleId="FootnoteTextChar">
    <w:name w:val="Footnote Text Char"/>
    <w:basedOn w:val="DefaultParagraphFont"/>
    <w:link w:val="FootnoteText"/>
    <w:uiPriority w:val="99"/>
    <w:rsid w:val="007855C4"/>
  </w:style>
  <w:style w:type="character" w:styleId="FootnoteReference">
    <w:name w:val="footnote reference"/>
    <w:basedOn w:val="DefaultParagraphFont"/>
    <w:uiPriority w:val="99"/>
    <w:unhideWhenUsed/>
    <w:rsid w:val="007855C4"/>
    <w:rPr>
      <w:vertAlign w:val="superscript"/>
    </w:rPr>
  </w:style>
  <w:style w:type="paragraph" w:styleId="NoSpacing">
    <w:name w:val="No Spacing"/>
    <w:uiPriority w:val="1"/>
    <w:qFormat/>
    <w:rsid w:val="00266884"/>
  </w:style>
  <w:style w:type="character" w:customStyle="1" w:styleId="apple-converted-space">
    <w:name w:val="apple-converted-space"/>
    <w:basedOn w:val="DefaultParagraphFont"/>
    <w:rsid w:val="00A32F92"/>
  </w:style>
  <w:style w:type="character" w:styleId="Emphasis">
    <w:name w:val="Emphasis"/>
    <w:basedOn w:val="DefaultParagraphFont"/>
    <w:uiPriority w:val="20"/>
    <w:qFormat/>
    <w:rsid w:val="00A32F92"/>
    <w:rPr>
      <w:i/>
      <w:iCs/>
    </w:rPr>
  </w:style>
  <w:style w:type="character" w:styleId="Hyperlink">
    <w:name w:val="Hyperlink"/>
    <w:basedOn w:val="DefaultParagraphFont"/>
    <w:uiPriority w:val="99"/>
    <w:unhideWhenUsed/>
    <w:rsid w:val="00584134"/>
    <w:rPr>
      <w:color w:val="0000FF" w:themeColor="hyperlink"/>
      <w:u w:val="single"/>
    </w:rPr>
  </w:style>
  <w:style w:type="paragraph" w:styleId="Header">
    <w:name w:val="header"/>
    <w:basedOn w:val="Normal"/>
    <w:link w:val="HeaderChar"/>
    <w:uiPriority w:val="99"/>
    <w:unhideWhenUsed/>
    <w:rsid w:val="002A6F9E"/>
    <w:pPr>
      <w:tabs>
        <w:tab w:val="center" w:pos="4320"/>
        <w:tab w:val="right" w:pos="8640"/>
      </w:tabs>
    </w:pPr>
  </w:style>
  <w:style w:type="character" w:customStyle="1" w:styleId="HeaderChar">
    <w:name w:val="Header Char"/>
    <w:basedOn w:val="DefaultParagraphFont"/>
    <w:link w:val="Header"/>
    <w:uiPriority w:val="99"/>
    <w:rsid w:val="002A6F9E"/>
  </w:style>
  <w:style w:type="paragraph" w:styleId="Footer">
    <w:name w:val="footer"/>
    <w:basedOn w:val="Normal"/>
    <w:link w:val="FooterChar"/>
    <w:uiPriority w:val="99"/>
    <w:unhideWhenUsed/>
    <w:rsid w:val="002A6F9E"/>
    <w:pPr>
      <w:tabs>
        <w:tab w:val="center" w:pos="4320"/>
        <w:tab w:val="right" w:pos="8640"/>
      </w:tabs>
    </w:pPr>
  </w:style>
  <w:style w:type="character" w:customStyle="1" w:styleId="FooterChar">
    <w:name w:val="Footer Char"/>
    <w:basedOn w:val="DefaultParagraphFont"/>
    <w:link w:val="Footer"/>
    <w:uiPriority w:val="99"/>
    <w:rsid w:val="002A6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688683">
      <w:bodyDiv w:val="1"/>
      <w:marLeft w:val="0"/>
      <w:marRight w:val="0"/>
      <w:marTop w:val="0"/>
      <w:marBottom w:val="0"/>
      <w:divBdr>
        <w:top w:val="none" w:sz="0" w:space="0" w:color="auto"/>
        <w:left w:val="none" w:sz="0" w:space="0" w:color="auto"/>
        <w:bottom w:val="none" w:sz="0" w:space="0" w:color="auto"/>
        <w:right w:val="none" w:sz="0" w:space="0" w:color="auto"/>
      </w:divBdr>
    </w:div>
    <w:div w:id="583955727">
      <w:bodyDiv w:val="1"/>
      <w:marLeft w:val="0"/>
      <w:marRight w:val="0"/>
      <w:marTop w:val="0"/>
      <w:marBottom w:val="0"/>
      <w:divBdr>
        <w:top w:val="none" w:sz="0" w:space="0" w:color="auto"/>
        <w:left w:val="none" w:sz="0" w:space="0" w:color="auto"/>
        <w:bottom w:val="none" w:sz="0" w:space="0" w:color="auto"/>
        <w:right w:val="none" w:sz="0" w:space="0" w:color="auto"/>
      </w:divBdr>
    </w:div>
    <w:div w:id="759370069">
      <w:bodyDiv w:val="1"/>
      <w:marLeft w:val="0"/>
      <w:marRight w:val="0"/>
      <w:marTop w:val="0"/>
      <w:marBottom w:val="0"/>
      <w:divBdr>
        <w:top w:val="none" w:sz="0" w:space="0" w:color="auto"/>
        <w:left w:val="none" w:sz="0" w:space="0" w:color="auto"/>
        <w:bottom w:val="none" w:sz="0" w:space="0" w:color="auto"/>
        <w:right w:val="none" w:sz="0" w:space="0" w:color="auto"/>
      </w:divBdr>
    </w:div>
    <w:div w:id="1000740717">
      <w:bodyDiv w:val="1"/>
      <w:marLeft w:val="0"/>
      <w:marRight w:val="0"/>
      <w:marTop w:val="0"/>
      <w:marBottom w:val="0"/>
      <w:divBdr>
        <w:top w:val="none" w:sz="0" w:space="0" w:color="auto"/>
        <w:left w:val="none" w:sz="0" w:space="0" w:color="auto"/>
        <w:bottom w:val="none" w:sz="0" w:space="0" w:color="auto"/>
        <w:right w:val="none" w:sz="0" w:space="0" w:color="auto"/>
      </w:divBdr>
    </w:div>
    <w:div w:id="145270184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8522</Words>
  <Characters>48581</Characters>
  <Application>Microsoft Macintosh Word</Application>
  <DocSecurity>0</DocSecurity>
  <Lines>404</Lines>
  <Paragraphs>113</Paragraphs>
  <ScaleCrop>false</ScaleCrop>
  <Company/>
  <LinksUpToDate>false</LinksUpToDate>
  <CharactersWithSpaces>56990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Voltaire Paper.docx</dc:title>
  <cp:lastModifiedBy>Rob Goodman</cp:lastModifiedBy>
  <cp:revision>4</cp:revision>
  <dcterms:created xsi:type="dcterms:W3CDTF">2015-10-24T22:20:00Z</dcterms:created>
  <dcterms:modified xsi:type="dcterms:W3CDTF">2016-02-24T23:19:00Z</dcterms:modified>
</cp:coreProperties>
</file>